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0B78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1FF5D2B6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34A15AF9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2D2BC78B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0392E51C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356C0CD5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0D3520EC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4A3CB388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15C05248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0E2160E3" w14:textId="77777777" w:rsidR="00CC4009" w:rsidRPr="001E5E7D" w:rsidRDefault="00CC4009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6ADCE31E" w14:textId="77777777" w:rsidR="00C150FE" w:rsidRDefault="00C150FE" w:rsidP="009E78CB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5E097AB2" w14:textId="77777777" w:rsidR="00C150FE" w:rsidRDefault="00C150FE" w:rsidP="009E78CB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32BCE933" w14:textId="77777777" w:rsidR="00C150FE" w:rsidRPr="00461B33" w:rsidRDefault="00C150FE" w:rsidP="009E78CB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52"/>
          <w:szCs w:val="52"/>
        </w:rPr>
      </w:pPr>
    </w:p>
    <w:p w14:paraId="318E97F1" w14:textId="2CB4E4DE" w:rsidR="00510C9F" w:rsidRPr="00461B33" w:rsidRDefault="00510C9F" w:rsidP="009E78CB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52"/>
          <w:szCs w:val="52"/>
        </w:rPr>
      </w:pPr>
      <w:r w:rsidRPr="00461B33">
        <w:rPr>
          <w:rFonts w:asciiTheme="minorHAnsi" w:hAnsiTheme="minorHAnsi" w:cstheme="minorHAnsi"/>
          <w:b/>
          <w:bCs/>
          <w:color w:val="FF0000"/>
          <w:sz w:val="52"/>
          <w:szCs w:val="52"/>
        </w:rPr>
        <w:t>NÁRODNÍ AKČNÍ PLÁN PR</w:t>
      </w:r>
      <w:r w:rsidR="00C5042B" w:rsidRPr="00461B33">
        <w:rPr>
          <w:rFonts w:asciiTheme="minorHAnsi" w:hAnsiTheme="minorHAnsi" w:cstheme="minorHAnsi"/>
          <w:b/>
          <w:bCs/>
          <w:color w:val="FF0000"/>
          <w:sz w:val="52"/>
          <w:szCs w:val="52"/>
        </w:rPr>
        <w:t>EVENCE SEBEVRAŽD</w:t>
      </w:r>
    </w:p>
    <w:p w14:paraId="4667CA39" w14:textId="77777777" w:rsidR="00CC4009" w:rsidRPr="00461B33" w:rsidRDefault="00510C9F" w:rsidP="009E78CB">
      <w:pPr>
        <w:spacing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52"/>
          <w:szCs w:val="52"/>
        </w:rPr>
      </w:pPr>
      <w:proofErr w:type="gramStart"/>
      <w:r w:rsidRPr="00461B33">
        <w:rPr>
          <w:rFonts w:asciiTheme="minorHAnsi" w:hAnsiTheme="minorHAnsi" w:cstheme="minorHAnsi"/>
          <w:b/>
          <w:bCs/>
          <w:color w:val="1F497D" w:themeColor="text2"/>
          <w:sz w:val="52"/>
          <w:szCs w:val="52"/>
        </w:rPr>
        <w:t>2020 – 2030</w:t>
      </w:r>
      <w:proofErr w:type="gramEnd"/>
    </w:p>
    <w:p w14:paraId="16C5C619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3C4D7B4F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03805175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6CC19B1E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5A68AEC8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7D06033F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6AB78ADC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1E57073F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0BBDAFE4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0711738E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438ACB21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bookmarkStart w:id="0" w:name="_GoBack"/>
      <w:bookmarkEnd w:id="0"/>
    </w:p>
    <w:p w14:paraId="3E9F81D6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0844C836" w14:textId="77777777" w:rsidR="000354C7" w:rsidRPr="001E5E7D" w:rsidRDefault="000354C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18D20954" w14:textId="7DCB5C84" w:rsidR="00025EA7" w:rsidRDefault="00A37D00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1F497D" w:themeColor="text2"/>
          <w:sz w:val="20"/>
          <w:szCs w:val="20"/>
        </w:rPr>
        <w:drawing>
          <wp:inline distT="0" distB="0" distL="0" distR="0" wp14:anchorId="7DA927A4" wp14:editId="2D18F49E">
            <wp:extent cx="6248400" cy="1036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forma+mzc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A4B" w:rsidRPr="001E5E7D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br w:type="column"/>
      </w:r>
    </w:p>
    <w:p w14:paraId="1D7C40A7" w14:textId="7938F313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Národní akční plán prevence sebevražd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2019-2030 (dále jen NAPPS) je </w:t>
      </w:r>
      <w:r w:rsidR="00AE38DE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dokumentem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, </w:t>
      </w: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jehož cílem je přispět ke snižování sebevražednosti v České republice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. Jedná se o první strategický dokument, který se zabývá prevencí </w:t>
      </w:r>
      <w:r w:rsidR="00C71BD5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sebepoškozování a 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sebevražedného </w:t>
      </w:r>
      <w:r w:rsidR="00C71BD5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jednání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a který stanovuje konkrétní postupy pro </w:t>
      </w:r>
      <w:r w:rsidR="00C71BD5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její 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naplňování.</w:t>
      </w:r>
    </w:p>
    <w:p w14:paraId="26EE69F9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42C910EC" w14:textId="2ACC2F6E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NAPPS vychází ze situační analýzy která předkládá nejčastější rizikové faktory, epidemiologii suicidálního chování, preventivní intervence založené na důkazech, rozhovory s relevantními aktéry, a která tak podává ucelenou zprávu o praxi prevence sebevražd v různých kontextech v České republice. Na základě rešerše literatury navrhuje situační analýza klíčové oblasti, které zrcadlí typické komponenty strategií prevence sebevražd dle </w:t>
      </w:r>
      <w:r w:rsidR="00C71BD5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Světové zdravotnické organizace (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WHO</w:t>
      </w:r>
      <w:r w:rsidR="00C71BD5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)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, dále pak cílové skupiny a vhodné intervence. Díky datové analýze bylo možné identifikovat příležitosti rozvoje těchto preventivních aktivit. Situační analýza navazuje na předchozí projekt </w:t>
      </w:r>
      <w:r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Metodika prevence sebevražednosti v ČR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.</w:t>
      </w:r>
    </w:p>
    <w:p w14:paraId="552FA2BC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369B07CD" w14:textId="4B5898A6" w:rsidR="00C5042B" w:rsidRPr="006320AE" w:rsidRDefault="00C71BD5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K</w:t>
      </w:r>
      <w:r w:rsidR="00C5042B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odpovědnosti za prevenci sebevražd se Česká republika přihlásila již v roce 2002 v dokumentu Zdraví 21, kde se zavázala ke snížení počtu sebevražd alespoň o jednu třetinu do roku 2020. Celý projekt zároveň přispívá k plnění </w:t>
      </w:r>
      <w:r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Cílů udržitelného rozvoje</w:t>
      </w:r>
      <w:r w:rsidR="00C5042B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, které vytyčila Organizace spojených národů (OSN). Jedním z nich je snížení sebevražednosti o jednu třetinu do roku 2030. Dalším dokumentem, ze kterého NAPPS vychází, je </w:t>
      </w:r>
      <w:proofErr w:type="spellStart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Mental</w:t>
      </w:r>
      <w:proofErr w:type="spellEnd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Health</w:t>
      </w:r>
      <w:proofErr w:type="spellEnd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Action</w:t>
      </w:r>
      <w:proofErr w:type="spellEnd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Plan</w:t>
      </w:r>
      <w:proofErr w:type="spellEnd"/>
      <w:r w:rsidR="00C5042B"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2013-2020</w:t>
      </w:r>
      <w:r w:rsidR="00C5042B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, který vznikl pod hlavičkou WHO a jehož cíle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m</w:t>
      </w:r>
      <w:r w:rsidR="00C5042B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je </w:t>
      </w:r>
      <w:r w:rsidR="00C5042B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snížit globální míru sebevražednosti o 10 %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.</w:t>
      </w:r>
    </w:p>
    <w:p w14:paraId="7DFC8C6E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3B1E9375" w14:textId="77777777" w:rsidR="00C71BD5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Zahraniční praxe nám poskytuje důkazy o účinnosti zavedení národní politiky prevence sebevražd, která následuje efektivní přístupy a která vede ke snížení míry sebevražednosti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. Na základě Situační analýzy byly navrženy klíčové oblasti, které jsou uváděny v jednotlivých dimenzích typických komponent strategií prevence sebevražd dle WHO. Tyto klíčové oblasti byly v rámci Situační analýzy konzultovány s Národní pracovní skupinou, do které bylo přizváno široké spektrum aktérů. </w:t>
      </w:r>
    </w:p>
    <w:p w14:paraId="213DF1E5" w14:textId="77777777" w:rsidR="00C71BD5" w:rsidRPr="006320AE" w:rsidRDefault="00C71BD5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748703AF" w14:textId="1F0BC2D4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Mezi </w:t>
      </w:r>
      <w:r w:rsidR="00C71BD5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tyto dimenze 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patří omezování dostupnosti prostředků k vykonání sebevraždy, zodpovědnější práce médií při informování o problematice sebevražd, dostupnost služeb pro osoby se zvýšeným rizikem spáchání sebevraždy, školení a vzdělávání, zajištění léčby na důkazech a dostupnosti krizové intervence, dále zajištění služeb pro pozůstalé, obecné zlepšení povědomí, osvěta a </w:t>
      </w:r>
      <w:proofErr w:type="spellStart"/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destigmatizace</w:t>
      </w:r>
      <w:proofErr w:type="spellEnd"/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, výzkum a sběr dat a zajištění dohledu a koordinace aktivit v oblasti výzkumu a prevence sebevražd.</w:t>
      </w:r>
    </w:p>
    <w:p w14:paraId="288F0CBB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75676EC7" w14:textId="77777777" w:rsidR="00025EA7" w:rsidRPr="006320AE" w:rsidRDefault="00025EA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6EB33F92" w14:textId="77777777" w:rsidR="00025EA7" w:rsidRPr="006320AE" w:rsidRDefault="00025EA7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3D778463" w14:textId="1C11B757" w:rsidR="00033453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NAPPS reaguje na dvě </w:t>
      </w:r>
      <w:r w:rsidR="00033453"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zásadní skutečnosti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: a) </w:t>
      </w:r>
      <w:r w:rsidR="00033453"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stabilně vysokou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míru sebevražednosti, kterou se ČR zavázala snižovat, b) absenci národní strategie prevence sebevražd. </w:t>
      </w:r>
    </w:p>
    <w:p w14:paraId="08DE45C6" w14:textId="77777777" w:rsidR="00033453" w:rsidRPr="006320AE" w:rsidRDefault="00033453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312D2A15" w14:textId="4EC80F2D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V České republice ročně spáchá sebevraždu více než 1300 lidí a statistiky ukazují, že výše zmíněných cílů o snížení sebevražednosti se dlouhodobě nedaří dosáhnout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. Míra sebevražednosti je nejvyšší mezi seniory, stabilně je pak více sebevražd zastoupeno u mužů. Alarmující skutečnost je, že u lidí ve věku 15-24 let je sebevražda druhou nejčastější příčinou úmrtí. Od roku 1992 se v České republice nevedou údaje o sebevražedných pokusech, nicméně jejich počet WHO odhaduje až na dvacetinásobek dokonaných </w:t>
      </w:r>
      <w:proofErr w:type="spellStart"/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suicidií</w:t>
      </w:r>
      <w:proofErr w:type="spellEnd"/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. Sebevražda je tak tragickou událostí, která se dotýká celého věkového spektra a která má dalekosáhlé důsledky pro blízké okolí i stát jako takový.</w:t>
      </w:r>
    </w:p>
    <w:p w14:paraId="6E3C3B49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2CB428E5" w14:textId="198FBA9C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Česká republika v tomto ohledu potřebuje národní politiku, která uvažuje systematicky a v dlouhodobém časovém horizontu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. Vzhledem k absenci takové politiky se forma akčního plánu jeví jako vhodný nástroj. Plán identifikuje oblasti vyžadující pozornost a specifikuje konkrétní opatření i příležitosti k vyvinutí nových preventivních přístupů.</w:t>
      </w:r>
    </w:p>
    <w:p w14:paraId="08FDFD46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6A01DFF4" w14:textId="7F09F640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S ohledem na </w:t>
      </w:r>
      <w:proofErr w:type="spellStart"/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multidisciplinaritu</w:t>
      </w:r>
      <w:proofErr w:type="spellEnd"/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tématu </w:t>
      </w:r>
      <w:r w:rsidR="001E5E7D"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prevence </w:t>
      </w: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sebevražd vyžaduje NAPPS často zapojení mnoha sektorů zároveň a také dohledu plnění jednotlivých strategických cílů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. NAPPS proto stanovuje jednotlivé strategické cíle, které se dále dělí do specifických cílů a opatření, u kterého je vždy uvedena zodpovědnost za jejich naplňování. Některé cíle jsou rozsáhlejšího charakteru, jenž vyžaduje spolupráci několika subjektů. Organizační zázemí NAPPS poskytuje zejména Národní ústav duševního zdraví (NUDZ) a Ministerstvo zdravotnictví ČR (</w:t>
      </w:r>
      <w:proofErr w:type="spellStart"/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MZd</w:t>
      </w:r>
      <w:proofErr w:type="spellEnd"/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).</w:t>
      </w:r>
    </w:p>
    <w:p w14:paraId="3C38FA40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64F9806F" w14:textId="70E52C9C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V rámci NAPPS jsou stanoveny indikátory pro měření úspěšnosti jednotlivých cílů. Implementace opatření bude průběžně vyhodnocována. NAPPS dále stanovuje termíny plnění jednotlivých opatření a potřebné finanční prostředky na dosažení strategických cílů, identifikuje jejich zdroj (např. rozpočtové kapitoly jednotlivých ministerstev), případně předkládá alternativní zdroj financování (např. fondy EU).</w:t>
      </w:r>
    </w:p>
    <w:p w14:paraId="22ED41D4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651F7394" w14:textId="77777777" w:rsidR="00025EA7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V současné době důležitou nárazníkovou roli prevence sebepoškozování a sebevražedného jednání plní systém psychiatrické péče, krizových center, sociálních služeb ad., nicméně chybí zastřešující veřejně-politický dokument a chybí systematická a koordinovaná preventivní praxe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. To celé stojí v kontrastu se závazky, která Česká republika přijala za své. Realizace akčního plánu je zásadní pro podporu duševního zdraví a hlavním benefitem vycházejícím z výstupů akčního plánu je snížená míra sebevražednosti. Téma </w:t>
      </w:r>
    </w:p>
    <w:p w14:paraId="14B95F66" w14:textId="77777777" w:rsidR="00025EA7" w:rsidRPr="006320AE" w:rsidRDefault="00025EA7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14:paraId="2519ACC7" w14:textId="02A1D01B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sebevražd je ve společnosti celkově stále silně stigmatizováno, v mnohém se tak NAPPS protíná a doplňuje </w:t>
      </w:r>
      <w:r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Národní akční plán pro duševní zdraví 2020-2030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(dále jen NAPDZ), a současně následuje doporučení </w:t>
      </w:r>
      <w:r w:rsidRPr="006320AE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Metodiky přípravy veřejných strategií</w:t>
      </w:r>
      <w:r w:rsidRPr="006320A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(MMR, 2019) a Světové zdravotnické organizace (WHO, 2019). NAPPS navazuje na řadu strategických národních dokumentů.</w:t>
      </w:r>
    </w:p>
    <w:p w14:paraId="1D73C2E7" w14:textId="77777777" w:rsidR="00C5042B" w:rsidRPr="006320AE" w:rsidRDefault="00C5042B" w:rsidP="009E78CB">
      <w:pPr>
        <w:pStyle w:val="Nadpis1"/>
        <w:spacing w:line="36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320AE">
        <w:rPr>
          <w:rFonts w:asciiTheme="minorHAnsi" w:hAnsiTheme="minorHAnsi" w:cstheme="minorHAnsi"/>
          <w:b/>
          <w:color w:val="FF0000"/>
          <w:sz w:val="28"/>
          <w:szCs w:val="28"/>
        </w:rPr>
        <w:t>Metoda vzniku</w:t>
      </w:r>
    </w:p>
    <w:p w14:paraId="7D08D5E1" w14:textId="77777777" w:rsidR="00C5042B" w:rsidRPr="006320AE" w:rsidRDefault="00C5042B" w:rsidP="009E78CB">
      <w:pPr>
        <w:pStyle w:val="Normln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Pří přípravě akčního plánu byly respektovány základní atributy tvorby strategických dokumentů, které jsou obsaženy a zdůrazněny mj. v Metodice přípravy veřejných strategií a v doporučeních Světové zdravotnické organizace. Samotný vznik akčního plánu byl koordinován pracovníky Národního ústavu duševního zdraví jako příspěvkové organizace </w:t>
      </w:r>
      <w:proofErr w:type="spellStart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MZd</w:t>
      </w:r>
      <w:proofErr w:type="spellEnd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.</w:t>
      </w:r>
    </w:p>
    <w:p w14:paraId="57022142" w14:textId="0CB8385B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Tvorba akčního plánu probíhala transparentně a nestranně. Za účelem získání relevantních podkladů bylo provedeno 25 rozhovorů s relevantními aktéry zastupující organizace, kterých se problematika dotýká nebo kteří se přímo pohybují v praxi a s problematikou sebepoškozování a sebevražedného jednání se běžně setkávají.</w:t>
      </w:r>
    </w:p>
    <w:p w14:paraId="1256A253" w14:textId="77777777" w:rsidR="00D050F7" w:rsidRPr="006320AE" w:rsidRDefault="00D050F7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07C2B905" w14:textId="77777777" w:rsidR="00C5042B" w:rsidRPr="006320AE" w:rsidRDefault="00C5042B" w:rsidP="009E78CB">
      <w:pPr>
        <w:pStyle w:val="Normln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Souběžně byla analyzována dostupná data Českého statistického úřadu, Toxikologické informační služby a data z Národního registru hospitalizovaných (NRHOSP) ve správě Ústavu zdravotnických informací a statistiky (ÚZIS).</w:t>
      </w:r>
    </w:p>
    <w:p w14:paraId="5440B8B3" w14:textId="58E2B7F6" w:rsidR="00C5042B" w:rsidRPr="006320AE" w:rsidRDefault="00C5042B" w:rsidP="009E78CB">
      <w:pPr>
        <w:pStyle w:val="Normln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Výsledky datových analýz a informace získané prostřednictvím rozhovorů byly shrnuty do Situační analýzy, podkladového dokumentu pro tvorbu NAPPS. K situační analýze bylo </w:t>
      </w:r>
      <w:r w:rsidR="007334F6"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v průběhu roku </w:t>
      </w: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uspořádáno setkání členů NPS, kterého se zúčastnili i jiní relevantní konzultanti jako např. vedoucí místní kanceláře WHO. Situační analýza byla s předstihem rozeslána, aby měli členové NPS čas na zpracování připomínek a komentářů. V průběhu setkání byly představeny výsledky analýzy dat a byly diskutovány klíčové komponenty prevence sebevražd spolu s doporučenými intervencemi. Situační analýza byla dále konzultována se zahraniční expertkou WHO, profesorkou Ellou </w:t>
      </w:r>
      <w:proofErr w:type="spellStart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Arensman</w:t>
      </w:r>
      <w:proofErr w:type="spellEnd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, která se problematice národních politik prevence sebepoškozování a sebevražd dlouhodobě věnuje. Připomínky vzešlé z obou setkání byly autorským kolektivem zapracovány do Situační analýzy.</w:t>
      </w:r>
    </w:p>
    <w:p w14:paraId="51FA9A98" w14:textId="77777777" w:rsidR="00C5042B" w:rsidRPr="006320AE" w:rsidRDefault="00C5042B" w:rsidP="009E78CB">
      <w:pPr>
        <w:pStyle w:val="Normln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Dalším krokem bylo překlopení Situační analýzy do podoby NAPPS. To bylo provedeno při respektování principů uvedených v Metodice přípravy veřejných strategií. Strategické a specifické cíle i navazující opatření byly v průběhu měsíce srpna rozeslány k připomínkám NPS a konzultovány s oddělením koncepcí a strategií </w:t>
      </w:r>
      <w:proofErr w:type="spellStart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MZd</w:t>
      </w:r>
      <w:proofErr w:type="spellEnd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.</w:t>
      </w:r>
    </w:p>
    <w:p w14:paraId="33A1072D" w14:textId="1609A4D2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0B04B979" w14:textId="4F4C1EBD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06DA32F8" w14:textId="77777777" w:rsidR="00F17D97" w:rsidRDefault="00F17D97" w:rsidP="00FB0556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7F8ECD8" w14:textId="77777777" w:rsidR="00F17D97" w:rsidRDefault="00F17D97" w:rsidP="00FB0556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6174D8D" w14:textId="7BE1FECD" w:rsidR="00C5042B" w:rsidRPr="006320AE" w:rsidRDefault="00FB0556" w:rsidP="00FB0556">
      <w:pPr>
        <w:spacing w:line="360" w:lineRule="auto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color w:val="FF0000"/>
          <w:sz w:val="28"/>
          <w:szCs w:val="28"/>
        </w:rPr>
        <w:t>S</w:t>
      </w:r>
      <w:r w:rsidR="00C5042B" w:rsidRPr="006320AE">
        <w:rPr>
          <w:rFonts w:asciiTheme="minorHAnsi" w:hAnsiTheme="minorHAnsi" w:cstheme="minorHAnsi"/>
          <w:b/>
          <w:color w:val="FF0000"/>
          <w:sz w:val="28"/>
          <w:szCs w:val="28"/>
        </w:rPr>
        <w:t>trategické cíle</w:t>
      </w:r>
      <w:r w:rsidR="001E5E7D"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1E5E7D" w:rsidRPr="006320AE">
        <w:rPr>
          <w:rFonts w:asciiTheme="minorHAnsi" w:hAnsiTheme="minorHAnsi" w:cstheme="minorHAnsi"/>
          <w:b/>
          <w:color w:val="FF0000"/>
          <w:sz w:val="28"/>
          <w:szCs w:val="28"/>
        </w:rPr>
        <w:t>NAPPS</w:t>
      </w:r>
    </w:p>
    <w:p w14:paraId="07070141" w14:textId="1F64FC1E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Strategické cíle a jejich nižší úrovně jsou formulovány s cílem předcházet nejen sebevražednému chování ale také fenoménu sebepoškozování, což jednak následuje zahraniční praxi, zároveň se ukazuje, že sebepoškozování je jedním z nejvýznamnějších rizikových faktorů pro další sebevražedné jednání. Strategické cíle jsou následující:</w:t>
      </w:r>
    </w:p>
    <w:p w14:paraId="0028C186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32C7C4B9" w14:textId="4769B17F" w:rsidR="00C5042B" w:rsidRPr="006320AE" w:rsidRDefault="00C5042B" w:rsidP="009E78CB">
      <w:pPr>
        <w:pStyle w:val="Odstavecseseznamem"/>
        <w:numPr>
          <w:ilvl w:val="0"/>
          <w:numId w:val="37"/>
        </w:numPr>
        <w:spacing w:after="16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Strategický cíl 1</w:t>
      </w: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: Preventivní intervence a opatření prevence sebevražd a sebepoškozování jsou běžnou komponentou v oblasti prevence v rámci veřejného zdraví.</w:t>
      </w:r>
    </w:p>
    <w:p w14:paraId="3CCB3E43" w14:textId="77777777" w:rsidR="009E78CB" w:rsidRPr="006320AE" w:rsidRDefault="009E78CB" w:rsidP="009E78CB">
      <w:pPr>
        <w:pStyle w:val="Odstavecseseznamem"/>
        <w:spacing w:after="16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123CB81A" w14:textId="4FD81DD4" w:rsidR="00BF4BBE" w:rsidRPr="006320AE" w:rsidRDefault="00C5042B" w:rsidP="00F81D39">
      <w:pPr>
        <w:pStyle w:val="Odstavecseseznamem"/>
        <w:numPr>
          <w:ilvl w:val="0"/>
          <w:numId w:val="37"/>
        </w:numPr>
        <w:spacing w:after="16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Strategický cíl 2</w:t>
      </w: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: Služby v oblasti duševního zdraví a služby sociální péče, určené pro poskytnutí pomoci člověku procházejícímu krizí, jsou dostupné časem, místem, kapacitou i cenou a jsou k dispozici v komunitě dle potřeby, je ustanovena dobrá praxe předávání klientů mezi těmito službami a služby samotné poskytují péči založenou na důkazech.</w:t>
      </w:r>
    </w:p>
    <w:p w14:paraId="70268EAF" w14:textId="77777777" w:rsidR="00BF4BBE" w:rsidRPr="006320AE" w:rsidRDefault="00BF4BBE" w:rsidP="00BF4BBE">
      <w:pPr>
        <w:spacing w:after="16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15A3A39A" w14:textId="3A44E2ED" w:rsidR="00C5042B" w:rsidRPr="006320AE" w:rsidRDefault="00C5042B" w:rsidP="009E78CB">
      <w:pPr>
        <w:pStyle w:val="Odstavecseseznamem"/>
        <w:numPr>
          <w:ilvl w:val="0"/>
          <w:numId w:val="37"/>
        </w:numPr>
        <w:spacing w:after="16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Strategický cíl 3</w:t>
      </w: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: Problematika sebepoškozování, sebevražednosti a možnosti prevence jsou součástí vzdělávání relevantních profesí a běžným prvkem v osvětových kampaních.</w:t>
      </w:r>
    </w:p>
    <w:p w14:paraId="7FC27B28" w14:textId="77777777" w:rsidR="009E78CB" w:rsidRPr="006320AE" w:rsidRDefault="009E78CB" w:rsidP="009E78CB">
      <w:pPr>
        <w:pStyle w:val="Odstavecseseznamem"/>
        <w:spacing w:after="16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41C810B4" w14:textId="48398C49" w:rsidR="00C5042B" w:rsidRPr="006320AE" w:rsidRDefault="00C5042B" w:rsidP="009E78CB">
      <w:pPr>
        <w:pStyle w:val="Odstavecseseznamem"/>
        <w:numPr>
          <w:ilvl w:val="0"/>
          <w:numId w:val="37"/>
        </w:numPr>
        <w:spacing w:after="160"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Strategický cíl 4</w:t>
      </w: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: Prevence sebevražd a sebepoškozování a koordinace aktivit v této oblasti vychází ze spolehlivých informací a vědomostí.</w:t>
      </w:r>
    </w:p>
    <w:p w14:paraId="42DC184C" w14:textId="77777777" w:rsidR="001E5E7D" w:rsidRPr="006320AE" w:rsidRDefault="001E5E7D" w:rsidP="009E78CB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F8CB970" w14:textId="5CAE6CCE" w:rsidR="001E5E7D" w:rsidRPr="006320AE" w:rsidRDefault="001E5E7D" w:rsidP="009E78CB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F9A999" w14:textId="77777777" w:rsidR="00F17D97" w:rsidRDefault="00F17D97" w:rsidP="009E78CB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EF7EB65" w14:textId="77777777" w:rsidR="00F17D97" w:rsidRDefault="00F17D97" w:rsidP="009E78CB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7537F2D" w14:textId="77777777" w:rsidR="00F17D97" w:rsidRDefault="00F17D97" w:rsidP="009E78CB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0FFA781" w14:textId="77777777" w:rsidR="00F17D97" w:rsidRDefault="00F17D97" w:rsidP="009E78CB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335A75A" w14:textId="3942C155" w:rsidR="00C5042B" w:rsidRPr="006320AE" w:rsidRDefault="00C5042B" w:rsidP="009E78CB">
      <w:pPr>
        <w:spacing w:line="360" w:lineRule="auto"/>
        <w:rPr>
          <w:rFonts w:asciiTheme="minorHAnsi" w:eastAsiaTheme="majorEastAsia" w:hAnsiTheme="minorHAnsi" w:cstheme="minorHAnsi"/>
          <w:b/>
          <w:color w:val="FF0000"/>
          <w:sz w:val="28"/>
          <w:szCs w:val="28"/>
          <w:lang w:eastAsia="en-US"/>
        </w:rPr>
      </w:pPr>
      <w:r w:rsidRPr="006320AE">
        <w:rPr>
          <w:rFonts w:asciiTheme="minorHAnsi" w:hAnsiTheme="minorHAnsi" w:cstheme="minorHAnsi"/>
          <w:b/>
          <w:color w:val="FF0000"/>
          <w:sz w:val="28"/>
          <w:szCs w:val="28"/>
        </w:rPr>
        <w:t>Cíl pro rok 2020</w:t>
      </w:r>
    </w:p>
    <w:p w14:paraId="2C61F8FE" w14:textId="7ACBF32C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Zajištění podkladů pro rozhodování o omezování dostupnosti prostředků pro vykonání sebevraždy. </w:t>
      </w:r>
    </w:p>
    <w:p w14:paraId="7D3CCBB4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459A052F" w14:textId="205FA7D0" w:rsidR="00C5042B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  <w:u w:val="single"/>
        </w:rPr>
        <w:t>Opatření</w:t>
      </w: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: Analýza dat Toxikologické informační služby (TIS) ve spolupráci s Národním ústavem duševního zdraví týkající se záměrných otrav se sebevražedným úmyslem a ustanovení pravidelného poskytování dat a výstupu z analýz pro potřeby Státního ústavu pro kontrolu léčiv (SÚKL).</w:t>
      </w:r>
    </w:p>
    <w:p w14:paraId="10B58DF0" w14:textId="77777777" w:rsidR="001E5E7D" w:rsidRPr="006320AE" w:rsidRDefault="001E5E7D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1E250221" w14:textId="0CCF6ADB" w:rsidR="00322128" w:rsidRPr="006320AE" w:rsidRDefault="00C5042B" w:rsidP="009E78CB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320AE">
        <w:rPr>
          <w:rFonts w:asciiTheme="minorHAnsi" w:hAnsiTheme="minorHAnsi" w:cstheme="minorHAnsi"/>
          <w:color w:val="1F497D" w:themeColor="text2"/>
          <w:sz w:val="28"/>
          <w:szCs w:val="28"/>
          <w:u w:val="single"/>
        </w:rPr>
        <w:t>Opatření</w:t>
      </w:r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: Analýza dat SŽDC o sebevraždách na železnici s cílem identifikace hot-spotů, </w:t>
      </w:r>
      <w:proofErr w:type="gramStart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>míst</w:t>
      </w:r>
      <w:proofErr w:type="gramEnd"/>
      <w:r w:rsidRPr="006320A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kde se nejčastěji dějí sebevraždy.</w:t>
      </w:r>
    </w:p>
    <w:sectPr w:rsidR="00322128" w:rsidRPr="006320AE" w:rsidSect="00C150FE">
      <w:headerReference w:type="default" r:id="rId9"/>
      <w:footerReference w:type="default" r:id="rId10"/>
      <w:pgSz w:w="11907" w:h="16839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2B6BF" w14:textId="77777777" w:rsidR="004D2F53" w:rsidRDefault="004D2F53" w:rsidP="006F09E0">
      <w:r>
        <w:separator/>
      </w:r>
    </w:p>
  </w:endnote>
  <w:endnote w:type="continuationSeparator" w:id="0">
    <w:p w14:paraId="13DEE581" w14:textId="77777777" w:rsidR="004D2F53" w:rsidRDefault="004D2F53" w:rsidP="006F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5970" w14:textId="77777777" w:rsidR="007E31E6" w:rsidRDefault="007E31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059E" w14:textId="77777777" w:rsidR="004D2F53" w:rsidRDefault="004D2F53" w:rsidP="006F09E0">
      <w:r>
        <w:separator/>
      </w:r>
    </w:p>
  </w:footnote>
  <w:footnote w:type="continuationSeparator" w:id="0">
    <w:p w14:paraId="08F2DD48" w14:textId="77777777" w:rsidR="004D2F53" w:rsidRDefault="004D2F53" w:rsidP="006F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67F9" w14:textId="77777777" w:rsidR="007E31E6" w:rsidRDefault="007E31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1E1"/>
    <w:multiLevelType w:val="hybridMultilevel"/>
    <w:tmpl w:val="E41EE67A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2332"/>
    <w:multiLevelType w:val="hybridMultilevel"/>
    <w:tmpl w:val="C86A04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34FF"/>
    <w:multiLevelType w:val="hybridMultilevel"/>
    <w:tmpl w:val="A8E87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5EEE"/>
    <w:multiLevelType w:val="hybridMultilevel"/>
    <w:tmpl w:val="6482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5C05"/>
    <w:multiLevelType w:val="hybridMultilevel"/>
    <w:tmpl w:val="E4FAE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B38C0"/>
    <w:multiLevelType w:val="hybridMultilevel"/>
    <w:tmpl w:val="C128D6AA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E47DEF"/>
    <w:multiLevelType w:val="hybridMultilevel"/>
    <w:tmpl w:val="F8800CC6"/>
    <w:lvl w:ilvl="0" w:tplc="DBD8952A">
      <w:start w:val="1"/>
      <w:numFmt w:val="decimal"/>
      <w:lvlText w:val="C 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821D9"/>
    <w:multiLevelType w:val="hybridMultilevel"/>
    <w:tmpl w:val="62E08D90"/>
    <w:lvl w:ilvl="0" w:tplc="669A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607B"/>
    <w:multiLevelType w:val="hybridMultilevel"/>
    <w:tmpl w:val="AC0E0B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73D8E"/>
    <w:multiLevelType w:val="hybridMultilevel"/>
    <w:tmpl w:val="620E2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E2BB2"/>
    <w:multiLevelType w:val="hybridMultilevel"/>
    <w:tmpl w:val="236E8668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2174A"/>
    <w:multiLevelType w:val="hybridMultilevel"/>
    <w:tmpl w:val="35BCBE4C"/>
    <w:lvl w:ilvl="0" w:tplc="ADF624A6">
      <w:start w:val="202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05B57"/>
    <w:multiLevelType w:val="hybridMultilevel"/>
    <w:tmpl w:val="DC542B0A"/>
    <w:lvl w:ilvl="0" w:tplc="8B0CE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AF4"/>
    <w:multiLevelType w:val="hybridMultilevel"/>
    <w:tmpl w:val="6568BC5E"/>
    <w:lvl w:ilvl="0" w:tplc="DBD8952A">
      <w:start w:val="1"/>
      <w:numFmt w:val="decimal"/>
      <w:lvlText w:val="C 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34464"/>
    <w:multiLevelType w:val="hybridMultilevel"/>
    <w:tmpl w:val="FC1C6D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5189A"/>
    <w:multiLevelType w:val="hybridMultilevel"/>
    <w:tmpl w:val="F4E48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2097"/>
    <w:multiLevelType w:val="hybridMultilevel"/>
    <w:tmpl w:val="CFD6FAA6"/>
    <w:lvl w:ilvl="0" w:tplc="55E482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2EF7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A822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6275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A688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0CA4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D2E6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6A4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567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35F10F9"/>
    <w:multiLevelType w:val="hybridMultilevel"/>
    <w:tmpl w:val="89841E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7788D"/>
    <w:multiLevelType w:val="hybridMultilevel"/>
    <w:tmpl w:val="2AEC14C2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95757"/>
    <w:multiLevelType w:val="hybridMultilevel"/>
    <w:tmpl w:val="F620CD6E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7A076C"/>
    <w:multiLevelType w:val="hybridMultilevel"/>
    <w:tmpl w:val="DBB40580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5328B4"/>
    <w:multiLevelType w:val="hybridMultilevel"/>
    <w:tmpl w:val="58B23696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56D80"/>
    <w:multiLevelType w:val="hybridMultilevel"/>
    <w:tmpl w:val="B9E86B04"/>
    <w:lvl w:ilvl="0" w:tplc="DBD2B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7174"/>
    <w:multiLevelType w:val="hybridMultilevel"/>
    <w:tmpl w:val="66AAE7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22DA0"/>
    <w:multiLevelType w:val="hybridMultilevel"/>
    <w:tmpl w:val="10EA5E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FC6474"/>
    <w:multiLevelType w:val="hybridMultilevel"/>
    <w:tmpl w:val="4B043266"/>
    <w:lvl w:ilvl="0" w:tplc="ADF624A6">
      <w:start w:val="202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12C3D"/>
    <w:multiLevelType w:val="hybridMultilevel"/>
    <w:tmpl w:val="9850CA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06C57"/>
    <w:multiLevelType w:val="hybridMultilevel"/>
    <w:tmpl w:val="88406F6C"/>
    <w:lvl w:ilvl="0" w:tplc="DA8E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5D27"/>
    <w:multiLevelType w:val="hybridMultilevel"/>
    <w:tmpl w:val="DA2ED9C8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87CBB"/>
    <w:multiLevelType w:val="hybridMultilevel"/>
    <w:tmpl w:val="DC567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6D72"/>
    <w:multiLevelType w:val="hybridMultilevel"/>
    <w:tmpl w:val="FD0C55D0"/>
    <w:lvl w:ilvl="0" w:tplc="DBD8952A">
      <w:start w:val="1"/>
      <w:numFmt w:val="decimal"/>
      <w:lvlText w:val="C 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500DB"/>
    <w:multiLevelType w:val="hybridMultilevel"/>
    <w:tmpl w:val="E11A4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40D"/>
    <w:multiLevelType w:val="hybridMultilevel"/>
    <w:tmpl w:val="E1F2A18A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E70D51"/>
    <w:multiLevelType w:val="hybridMultilevel"/>
    <w:tmpl w:val="11622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031355"/>
    <w:multiLevelType w:val="hybridMultilevel"/>
    <w:tmpl w:val="A41A167C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7014A"/>
    <w:multiLevelType w:val="hybridMultilevel"/>
    <w:tmpl w:val="614CF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D6B55"/>
    <w:multiLevelType w:val="hybridMultilevel"/>
    <w:tmpl w:val="DEAC252E"/>
    <w:lvl w:ilvl="0" w:tplc="ADF624A6">
      <w:start w:val="20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2"/>
  </w:num>
  <w:num w:numId="4">
    <w:abstractNumId w:val="11"/>
  </w:num>
  <w:num w:numId="5">
    <w:abstractNumId w:val="24"/>
  </w:num>
  <w:num w:numId="6">
    <w:abstractNumId w:val="30"/>
  </w:num>
  <w:num w:numId="7">
    <w:abstractNumId w:val="6"/>
  </w:num>
  <w:num w:numId="8">
    <w:abstractNumId w:val="13"/>
  </w:num>
  <w:num w:numId="9">
    <w:abstractNumId w:val="34"/>
  </w:num>
  <w:num w:numId="10">
    <w:abstractNumId w:val="21"/>
  </w:num>
  <w:num w:numId="11">
    <w:abstractNumId w:val="20"/>
  </w:num>
  <w:num w:numId="12">
    <w:abstractNumId w:val="18"/>
  </w:num>
  <w:num w:numId="13">
    <w:abstractNumId w:val="16"/>
  </w:num>
  <w:num w:numId="14">
    <w:abstractNumId w:val="32"/>
  </w:num>
  <w:num w:numId="15">
    <w:abstractNumId w:val="5"/>
  </w:num>
  <w:num w:numId="16">
    <w:abstractNumId w:val="28"/>
  </w:num>
  <w:num w:numId="17">
    <w:abstractNumId w:val="10"/>
  </w:num>
  <w:num w:numId="18">
    <w:abstractNumId w:val="0"/>
  </w:num>
  <w:num w:numId="19">
    <w:abstractNumId w:val="36"/>
  </w:num>
  <w:num w:numId="20">
    <w:abstractNumId w:val="9"/>
  </w:num>
  <w:num w:numId="21">
    <w:abstractNumId w:val="3"/>
  </w:num>
  <w:num w:numId="22">
    <w:abstractNumId w:val="23"/>
  </w:num>
  <w:num w:numId="23">
    <w:abstractNumId w:val="31"/>
  </w:num>
  <w:num w:numId="24">
    <w:abstractNumId w:val="19"/>
  </w:num>
  <w:num w:numId="25">
    <w:abstractNumId w:val="25"/>
  </w:num>
  <w:num w:numId="26">
    <w:abstractNumId w:val="17"/>
  </w:num>
  <w:num w:numId="27">
    <w:abstractNumId w:val="27"/>
  </w:num>
  <w:num w:numId="28">
    <w:abstractNumId w:val="22"/>
  </w:num>
  <w:num w:numId="29">
    <w:abstractNumId w:val="7"/>
  </w:num>
  <w:num w:numId="30">
    <w:abstractNumId w:val="8"/>
  </w:num>
  <w:num w:numId="31">
    <w:abstractNumId w:val="33"/>
  </w:num>
  <w:num w:numId="32">
    <w:abstractNumId w:val="2"/>
  </w:num>
  <w:num w:numId="33">
    <w:abstractNumId w:val="1"/>
  </w:num>
  <w:num w:numId="34">
    <w:abstractNumId w:val="29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NbA0tjA3MjEwMDNX0lEKTi0uzszPAykwrAUAAzgiTSwAAAA="/>
  </w:docVars>
  <w:rsids>
    <w:rsidRoot w:val="00436A17"/>
    <w:rsid w:val="00025EA7"/>
    <w:rsid w:val="00033453"/>
    <w:rsid w:val="000354C7"/>
    <w:rsid w:val="00041B2B"/>
    <w:rsid w:val="00176DC4"/>
    <w:rsid w:val="0019473C"/>
    <w:rsid w:val="001C0AD3"/>
    <w:rsid w:val="001E5E7D"/>
    <w:rsid w:val="00220A4B"/>
    <w:rsid w:val="00277092"/>
    <w:rsid w:val="002773EB"/>
    <w:rsid w:val="0030555E"/>
    <w:rsid w:val="00322128"/>
    <w:rsid w:val="003E484C"/>
    <w:rsid w:val="00436A17"/>
    <w:rsid w:val="00461B33"/>
    <w:rsid w:val="00462700"/>
    <w:rsid w:val="00474C37"/>
    <w:rsid w:val="0049204E"/>
    <w:rsid w:val="004D2F53"/>
    <w:rsid w:val="004D490A"/>
    <w:rsid w:val="00510C9F"/>
    <w:rsid w:val="00593C75"/>
    <w:rsid w:val="005B73ED"/>
    <w:rsid w:val="006320AE"/>
    <w:rsid w:val="006F09E0"/>
    <w:rsid w:val="006F16AC"/>
    <w:rsid w:val="0071323A"/>
    <w:rsid w:val="007334F6"/>
    <w:rsid w:val="007665B3"/>
    <w:rsid w:val="007E31E6"/>
    <w:rsid w:val="007F366A"/>
    <w:rsid w:val="008150B5"/>
    <w:rsid w:val="00816B8B"/>
    <w:rsid w:val="00820A0A"/>
    <w:rsid w:val="008266C7"/>
    <w:rsid w:val="008271A7"/>
    <w:rsid w:val="00870013"/>
    <w:rsid w:val="0090440F"/>
    <w:rsid w:val="00916E93"/>
    <w:rsid w:val="009C1D22"/>
    <w:rsid w:val="009E4255"/>
    <w:rsid w:val="009E78CB"/>
    <w:rsid w:val="00A37D00"/>
    <w:rsid w:val="00AC08BD"/>
    <w:rsid w:val="00AE38DE"/>
    <w:rsid w:val="00AF043E"/>
    <w:rsid w:val="00B04A29"/>
    <w:rsid w:val="00B83FF3"/>
    <w:rsid w:val="00BF4BBE"/>
    <w:rsid w:val="00C150FE"/>
    <w:rsid w:val="00C33BFD"/>
    <w:rsid w:val="00C44B64"/>
    <w:rsid w:val="00C5042B"/>
    <w:rsid w:val="00C71BD5"/>
    <w:rsid w:val="00CA06B2"/>
    <w:rsid w:val="00CC4009"/>
    <w:rsid w:val="00CF16BC"/>
    <w:rsid w:val="00CF47C4"/>
    <w:rsid w:val="00CF592A"/>
    <w:rsid w:val="00D050F7"/>
    <w:rsid w:val="00E00167"/>
    <w:rsid w:val="00E640FF"/>
    <w:rsid w:val="00EB0E0A"/>
    <w:rsid w:val="00F008BD"/>
    <w:rsid w:val="00F17D97"/>
    <w:rsid w:val="00FB0556"/>
    <w:rsid w:val="00FE6C7F"/>
    <w:rsid w:val="00FF3741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E447F"/>
  <w15:docId w15:val="{736F4152-6F29-4CCA-907B-9D12486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042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042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F09E0"/>
    <w:pPr>
      <w:ind w:left="720"/>
      <w:contextualSpacing/>
    </w:pPr>
    <w:rPr>
      <w:rFonts w:eastAsia="Times New Roman"/>
    </w:r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qFormat/>
    <w:rsid w:val="006F09E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E31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1E6"/>
    <w:rPr>
      <w:rFonts w:eastAsia="MS Mincho"/>
      <w:sz w:val="24"/>
      <w:szCs w:val="24"/>
    </w:rPr>
  </w:style>
  <w:style w:type="paragraph" w:styleId="Zpat">
    <w:name w:val="footer"/>
    <w:basedOn w:val="Normln"/>
    <w:link w:val="ZpatChar"/>
    <w:rsid w:val="007E3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31E6"/>
    <w:rPr>
      <w:rFonts w:eastAsia="MS Mincho"/>
      <w:sz w:val="24"/>
      <w:szCs w:val="24"/>
    </w:rPr>
  </w:style>
  <w:style w:type="character" w:styleId="Odkaznakoment">
    <w:name w:val="annotation reference"/>
    <w:basedOn w:val="Standardnpsmoodstavce"/>
    <w:rsid w:val="009044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4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40F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rsid w:val="009044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40F"/>
    <w:rPr>
      <w:rFonts w:eastAsia="MS Mincho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504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C5042B"/>
    <w:pPr>
      <w:spacing w:before="100" w:beforeAutospacing="1" w:after="100" w:afterAutospacing="1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C504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m\AppData\Roaming\Microsoft\&#352;ablony\Program%20svatebn&#237;ho%20ob&#345;ad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AD2C-4C24-409B-B11D-631B0A80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svatebního obřadu</Template>
  <TotalTime>23</TotalTime>
  <Pages>7</Pages>
  <Words>1249</Words>
  <Characters>8129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Martin Mgr.</dc:creator>
  <cp:lastModifiedBy>Brodská Kateřina</cp:lastModifiedBy>
  <cp:revision>9</cp:revision>
  <cp:lastPrinted>2019-09-09T16:25:00Z</cp:lastPrinted>
  <dcterms:created xsi:type="dcterms:W3CDTF">2019-09-09T16:13:00Z</dcterms:created>
  <dcterms:modified xsi:type="dcterms:W3CDTF">2019-09-09T16:35:00Z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TC010427521029</vt:lpwstr>
  </property>
</Properties>
</file>