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6C" w:rsidRPr="002B2283" w:rsidRDefault="008212B1" w:rsidP="00C7386C">
      <w:pPr>
        <w:pStyle w:val="Nadpis7"/>
        <w:spacing w:line="288" w:lineRule="auto"/>
        <w:jc w:val="both"/>
        <w:rPr>
          <w:rFonts w:ascii="Arial" w:hAnsi="Arial" w:cs="Arial"/>
          <w:b/>
          <w:bCs/>
          <w:noProof/>
          <w:sz w:val="22"/>
          <w:szCs w:val="22"/>
        </w:rPr>
      </w:pPr>
      <w:bookmarkStart w:id="0" w:name="_GoBack"/>
      <w:r w:rsidRPr="002B2283">
        <w:rPr>
          <w:noProof/>
        </w:rPr>
        <w:drawing>
          <wp:anchor distT="0" distB="0" distL="114300" distR="114300" simplePos="0" relativeHeight="251658240" behindDoc="0" locked="0" layoutInCell="1" allowOverlap="1" wp14:anchorId="5F84F643" wp14:editId="0AE864E0">
            <wp:simplePos x="0" y="0"/>
            <wp:positionH relativeFrom="page">
              <wp:posOffset>626745</wp:posOffset>
            </wp:positionH>
            <wp:positionV relativeFrom="page">
              <wp:posOffset>887730</wp:posOffset>
            </wp:positionV>
            <wp:extent cx="3190240" cy="285750"/>
            <wp:effectExtent l="0" t="0" r="0" b="0"/>
            <wp:wrapNone/>
            <wp:docPr id="1" name="Obrázek 1" descr="logo_mzc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zcr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86C" w:rsidRPr="002B2283" w:rsidRDefault="00C7386C" w:rsidP="00C7386C">
      <w:pPr>
        <w:pStyle w:val="Nadpis7"/>
        <w:spacing w:line="288" w:lineRule="auto"/>
        <w:jc w:val="both"/>
        <w:rPr>
          <w:rFonts w:ascii="Arial" w:hAnsi="Arial" w:cs="Arial"/>
          <w:b/>
          <w:bCs/>
          <w:noProof/>
          <w:sz w:val="22"/>
          <w:szCs w:val="22"/>
        </w:rPr>
      </w:pPr>
    </w:p>
    <w:p w:rsidR="008212B1" w:rsidRPr="002B2283" w:rsidRDefault="008212B1" w:rsidP="00C7386C">
      <w:pPr>
        <w:spacing w:line="288" w:lineRule="auto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8212B1" w:rsidRPr="002B2283" w:rsidRDefault="008212B1" w:rsidP="00C7386C">
      <w:pPr>
        <w:spacing w:line="288" w:lineRule="auto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C7386C" w:rsidRPr="002B2283" w:rsidRDefault="00C7386C" w:rsidP="00C7386C">
      <w:pPr>
        <w:spacing w:line="288" w:lineRule="auto"/>
        <w:jc w:val="center"/>
        <w:rPr>
          <w:rFonts w:ascii="Arial" w:hAnsi="Arial" w:cs="Arial"/>
          <w:b/>
          <w:noProof/>
          <w:sz w:val="32"/>
          <w:szCs w:val="32"/>
        </w:rPr>
      </w:pPr>
      <w:r w:rsidRPr="002B2283">
        <w:rPr>
          <w:rFonts w:ascii="Arial" w:hAnsi="Arial" w:cs="Arial"/>
          <w:b/>
          <w:noProof/>
          <w:sz w:val="32"/>
          <w:szCs w:val="32"/>
        </w:rPr>
        <w:t>Z P R Á V</w:t>
      </w:r>
      <w:r w:rsidR="008212B1" w:rsidRPr="002B2283">
        <w:rPr>
          <w:rFonts w:ascii="Arial" w:hAnsi="Arial" w:cs="Arial"/>
          <w:b/>
          <w:noProof/>
          <w:sz w:val="32"/>
          <w:szCs w:val="32"/>
        </w:rPr>
        <w:t> </w:t>
      </w:r>
      <w:r w:rsidRPr="002B2283">
        <w:rPr>
          <w:rFonts w:ascii="Arial" w:hAnsi="Arial" w:cs="Arial"/>
          <w:b/>
          <w:noProof/>
          <w:sz w:val="32"/>
          <w:szCs w:val="32"/>
        </w:rPr>
        <w:t>A</w:t>
      </w:r>
    </w:p>
    <w:p w:rsidR="008212B1" w:rsidRPr="002B2283" w:rsidRDefault="008212B1" w:rsidP="00C7386C">
      <w:pPr>
        <w:spacing w:line="288" w:lineRule="auto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C7386C" w:rsidRPr="002B2283" w:rsidRDefault="00C7386C" w:rsidP="00C7386C">
      <w:pPr>
        <w:spacing w:line="288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2B2283">
        <w:rPr>
          <w:rFonts w:ascii="Arial" w:hAnsi="Arial" w:cs="Arial"/>
          <w:b/>
          <w:noProof/>
          <w:sz w:val="28"/>
          <w:szCs w:val="28"/>
        </w:rPr>
        <w:t xml:space="preserve">o výsledcích cíleného státního zdravotního dozoru </w:t>
      </w:r>
      <w:r w:rsidR="00B1409B" w:rsidRPr="002B2283">
        <w:rPr>
          <w:rFonts w:ascii="Arial" w:hAnsi="Arial" w:cs="Arial"/>
          <w:b/>
          <w:noProof/>
          <w:sz w:val="28"/>
          <w:szCs w:val="28"/>
        </w:rPr>
        <w:t>zamě</w:t>
      </w:r>
      <w:r w:rsidRPr="002B2283">
        <w:rPr>
          <w:rFonts w:ascii="Arial" w:hAnsi="Arial" w:cs="Arial"/>
          <w:b/>
          <w:noProof/>
          <w:sz w:val="28"/>
          <w:szCs w:val="28"/>
        </w:rPr>
        <w:t xml:space="preserve">řeného na </w:t>
      </w:r>
      <w:r w:rsidR="00B1409B" w:rsidRPr="002B2283">
        <w:rPr>
          <w:rFonts w:ascii="Arial" w:hAnsi="Arial" w:cs="Arial"/>
          <w:b/>
          <w:noProof/>
          <w:sz w:val="28"/>
          <w:szCs w:val="28"/>
        </w:rPr>
        <w:t xml:space="preserve">ověření </w:t>
      </w:r>
      <w:r w:rsidRPr="002B2283">
        <w:rPr>
          <w:rFonts w:ascii="Arial" w:hAnsi="Arial" w:cs="Arial"/>
          <w:b/>
          <w:noProof/>
          <w:sz w:val="28"/>
          <w:szCs w:val="28"/>
        </w:rPr>
        <w:t xml:space="preserve">zdravotní nezávadnosti </w:t>
      </w:r>
      <w:r w:rsidR="00B1409B" w:rsidRPr="002B2283">
        <w:rPr>
          <w:rFonts w:ascii="Arial" w:hAnsi="Arial" w:cs="Arial"/>
          <w:b/>
          <w:noProof/>
          <w:sz w:val="28"/>
          <w:szCs w:val="28"/>
        </w:rPr>
        <w:t xml:space="preserve">vybraných druhů hraček s měkčenými částmi na trhu České republiky </w:t>
      </w:r>
    </w:p>
    <w:p w:rsidR="00C7386C" w:rsidRPr="002B2283" w:rsidRDefault="00C7386C" w:rsidP="00C7386C">
      <w:pPr>
        <w:pStyle w:val="Nadpis7"/>
        <w:spacing w:line="288" w:lineRule="auto"/>
        <w:jc w:val="both"/>
        <w:rPr>
          <w:rFonts w:ascii="Arial" w:hAnsi="Arial" w:cs="Arial"/>
          <w:b/>
          <w:bCs/>
          <w:noProof/>
          <w:sz w:val="22"/>
          <w:szCs w:val="22"/>
        </w:rPr>
      </w:pPr>
    </w:p>
    <w:p w:rsidR="004B52DC" w:rsidRPr="002B2283" w:rsidRDefault="004B52DC" w:rsidP="004B52DC">
      <w:pPr>
        <w:rPr>
          <w:noProof/>
        </w:rPr>
      </w:pPr>
    </w:p>
    <w:p w:rsidR="00450D7C" w:rsidRPr="002B2283" w:rsidRDefault="005750E0" w:rsidP="00450D7C">
      <w:pPr>
        <w:spacing w:line="300" w:lineRule="exact"/>
        <w:jc w:val="both"/>
        <w:rPr>
          <w:rFonts w:ascii="Arial" w:hAnsi="Arial" w:cs="Arial"/>
          <w:noProof/>
          <w:sz w:val="22"/>
          <w:szCs w:val="22"/>
        </w:rPr>
      </w:pPr>
      <w:r w:rsidRPr="002B2283">
        <w:rPr>
          <w:rFonts w:ascii="Arial" w:hAnsi="Arial" w:cs="Arial"/>
          <w:noProof/>
          <w:sz w:val="22"/>
          <w:szCs w:val="22"/>
        </w:rPr>
        <w:t>V</w:t>
      </w:r>
      <w:r w:rsidR="00A54B4D" w:rsidRPr="002B2283">
        <w:rPr>
          <w:rFonts w:ascii="Arial" w:hAnsi="Arial" w:cs="Arial"/>
          <w:noProof/>
          <w:sz w:val="22"/>
          <w:szCs w:val="22"/>
        </w:rPr>
        <w:t> období červen</w:t>
      </w:r>
      <w:r w:rsidR="00450D7C" w:rsidRPr="002B2283">
        <w:rPr>
          <w:rFonts w:ascii="Arial" w:hAnsi="Arial" w:cs="Arial"/>
          <w:noProof/>
          <w:sz w:val="22"/>
          <w:szCs w:val="22"/>
        </w:rPr>
        <w:t xml:space="preserve"> – září </w:t>
      </w:r>
      <w:r w:rsidR="00A54B4D" w:rsidRPr="002B2283">
        <w:rPr>
          <w:rFonts w:ascii="Arial" w:hAnsi="Arial" w:cs="Arial"/>
          <w:noProof/>
          <w:sz w:val="22"/>
          <w:szCs w:val="22"/>
        </w:rPr>
        <w:t>201</w:t>
      </w:r>
      <w:r w:rsidR="0073094C" w:rsidRPr="002B2283">
        <w:rPr>
          <w:rFonts w:ascii="Arial" w:hAnsi="Arial" w:cs="Arial"/>
          <w:noProof/>
          <w:sz w:val="22"/>
          <w:szCs w:val="22"/>
        </w:rPr>
        <w:t>6</w:t>
      </w:r>
      <w:r w:rsidR="00A54B4D" w:rsidRPr="002B2283">
        <w:rPr>
          <w:rFonts w:ascii="Arial" w:hAnsi="Arial" w:cs="Arial"/>
          <w:noProof/>
          <w:sz w:val="22"/>
          <w:szCs w:val="22"/>
        </w:rPr>
        <w:t xml:space="preserve"> </w:t>
      </w:r>
      <w:r w:rsidRPr="002B2283">
        <w:rPr>
          <w:rFonts w:ascii="Arial" w:hAnsi="Arial" w:cs="Arial"/>
          <w:noProof/>
          <w:sz w:val="22"/>
          <w:szCs w:val="22"/>
        </w:rPr>
        <w:t xml:space="preserve">byl hlavním hygienikem České republiky vyhlášen cílený </w:t>
      </w:r>
      <w:r w:rsidR="00C7386C" w:rsidRPr="002B2283">
        <w:rPr>
          <w:rFonts w:ascii="Arial" w:hAnsi="Arial" w:cs="Arial"/>
          <w:noProof/>
          <w:sz w:val="22"/>
          <w:szCs w:val="22"/>
        </w:rPr>
        <w:t xml:space="preserve">státní zdravotní dozor (stále „SZD“) </w:t>
      </w:r>
      <w:r w:rsidR="00450D7C" w:rsidRPr="002B2283">
        <w:rPr>
          <w:rFonts w:ascii="Arial" w:hAnsi="Arial" w:cs="Arial"/>
          <w:noProof/>
          <w:sz w:val="22"/>
          <w:szCs w:val="22"/>
        </w:rPr>
        <w:t>zaměřený na ověření zdravotní nezávadnosti vybraných druhů hraček</w:t>
      </w:r>
    </w:p>
    <w:p w:rsidR="00450D7C" w:rsidRPr="002B2283" w:rsidRDefault="00450D7C" w:rsidP="00450D7C">
      <w:pPr>
        <w:pStyle w:val="Zkladntext"/>
        <w:numPr>
          <w:ilvl w:val="0"/>
          <w:numId w:val="23"/>
        </w:numPr>
        <w:spacing w:after="0"/>
        <w:rPr>
          <w:rFonts w:cs="Arial"/>
          <w:b/>
          <w:szCs w:val="22"/>
        </w:rPr>
      </w:pPr>
      <w:r w:rsidRPr="002B2283">
        <w:rPr>
          <w:rFonts w:cs="Arial"/>
          <w:szCs w:val="22"/>
        </w:rPr>
        <w:t xml:space="preserve">KN 9503003 hračky představující zvířata nebo jiné, než lidské bytosti, měkčené plastové; </w:t>
      </w:r>
    </w:p>
    <w:p w:rsidR="00450D7C" w:rsidRPr="002B2283" w:rsidRDefault="00450D7C" w:rsidP="00450D7C">
      <w:pPr>
        <w:pStyle w:val="Zkladntext"/>
        <w:numPr>
          <w:ilvl w:val="0"/>
          <w:numId w:val="23"/>
        </w:numPr>
        <w:spacing w:after="0"/>
        <w:rPr>
          <w:rFonts w:cs="Arial"/>
          <w:b/>
          <w:szCs w:val="22"/>
        </w:rPr>
      </w:pPr>
      <w:r w:rsidRPr="002B2283">
        <w:rPr>
          <w:rFonts w:cs="Arial"/>
          <w:szCs w:val="22"/>
        </w:rPr>
        <w:t>KN 9503002190 hračky – panenky představující pouze lidské bytosti s měkkými plastovými částmi.</w:t>
      </w:r>
    </w:p>
    <w:p w:rsidR="00C7386C" w:rsidRPr="002B2283" w:rsidRDefault="005750E0" w:rsidP="00450D7C">
      <w:pPr>
        <w:spacing w:after="100" w:line="300" w:lineRule="exact"/>
        <w:jc w:val="both"/>
        <w:rPr>
          <w:rFonts w:ascii="Arial" w:hAnsi="Arial" w:cs="Arial"/>
          <w:bCs/>
          <w:noProof/>
          <w:sz w:val="22"/>
          <w:szCs w:val="22"/>
        </w:rPr>
      </w:pPr>
      <w:r w:rsidRPr="002B2283">
        <w:rPr>
          <w:rFonts w:ascii="Arial" w:hAnsi="Arial" w:cs="Arial"/>
          <w:noProof/>
          <w:sz w:val="22"/>
          <w:szCs w:val="22"/>
        </w:rPr>
        <w:t>Rozsah cíleného SZD byl stanoven tak, aby pracovníci každé</w:t>
      </w:r>
      <w:r w:rsidR="00450D7C" w:rsidRPr="002B2283">
        <w:rPr>
          <w:rFonts w:ascii="Arial" w:hAnsi="Arial" w:cs="Arial"/>
          <w:noProof/>
          <w:sz w:val="22"/>
          <w:szCs w:val="22"/>
        </w:rPr>
        <w:t xml:space="preserve"> krajské hygienické stanice provedli v tržní síti odběr nejméně 6 druhů hraček. </w:t>
      </w:r>
    </w:p>
    <w:p w:rsidR="00450D7C" w:rsidRPr="002B2283" w:rsidRDefault="00450D7C" w:rsidP="00450D7C">
      <w:pPr>
        <w:spacing w:line="300" w:lineRule="exact"/>
        <w:jc w:val="both"/>
        <w:rPr>
          <w:rFonts w:ascii="Arial" w:hAnsi="Arial" w:cs="Arial"/>
          <w:noProof/>
          <w:sz w:val="22"/>
          <w:szCs w:val="22"/>
        </w:rPr>
      </w:pPr>
      <w:r w:rsidRPr="002B2283">
        <w:rPr>
          <w:rFonts w:ascii="Arial" w:hAnsi="Arial" w:cs="Arial"/>
          <w:noProof/>
          <w:sz w:val="22"/>
          <w:szCs w:val="22"/>
        </w:rPr>
        <w:t xml:space="preserve">Předmětem cíleného úkolu bylo provedení </w:t>
      </w:r>
      <w:r w:rsidR="00A05CCC" w:rsidRPr="002B2283">
        <w:rPr>
          <w:rFonts w:ascii="Arial" w:hAnsi="Arial" w:cs="Arial"/>
          <w:noProof/>
          <w:sz w:val="22"/>
          <w:szCs w:val="22"/>
        </w:rPr>
        <w:t>SZD</w:t>
      </w:r>
      <w:r w:rsidRPr="002B2283">
        <w:rPr>
          <w:rFonts w:ascii="Arial" w:hAnsi="Arial" w:cs="Arial"/>
          <w:noProof/>
          <w:sz w:val="22"/>
          <w:szCs w:val="22"/>
        </w:rPr>
        <w:t xml:space="preserve"> nad plastovými hračkami představující zvířata nebo jiné, než lidské bytosti, měkčené plastové, např. ve tvaru zvířátek nebo dalších tvarů, a nad hračkami – panenkami představujícími pouze lidské bytosti s měkčenými plastovými částmi, které jsou uváděny na trh v České republice. </w:t>
      </w:r>
    </w:p>
    <w:p w:rsidR="00C7386C" w:rsidRPr="002B2283" w:rsidRDefault="00C7386C" w:rsidP="0073094C">
      <w:pPr>
        <w:spacing w:line="300" w:lineRule="exact"/>
        <w:jc w:val="both"/>
        <w:rPr>
          <w:rFonts w:ascii="Arial" w:hAnsi="Arial" w:cs="Arial"/>
          <w:bCs/>
          <w:noProof/>
          <w:sz w:val="22"/>
          <w:szCs w:val="22"/>
        </w:rPr>
      </w:pPr>
    </w:p>
    <w:p w:rsidR="006F431C" w:rsidRPr="002B2283" w:rsidRDefault="006F431C" w:rsidP="0073094C">
      <w:pPr>
        <w:spacing w:line="300" w:lineRule="exact"/>
        <w:jc w:val="both"/>
        <w:rPr>
          <w:rFonts w:ascii="Arial" w:hAnsi="Arial" w:cs="Arial"/>
          <w:bCs/>
          <w:noProof/>
          <w:sz w:val="22"/>
          <w:szCs w:val="22"/>
        </w:rPr>
      </w:pPr>
    </w:p>
    <w:p w:rsidR="00C7386C" w:rsidRPr="002B2283" w:rsidRDefault="00C7386C" w:rsidP="00C7386C">
      <w:pPr>
        <w:pStyle w:val="Nadpis7"/>
        <w:spacing w:line="300" w:lineRule="exact"/>
        <w:jc w:val="both"/>
        <w:rPr>
          <w:rFonts w:ascii="Arial" w:hAnsi="Arial" w:cs="Arial"/>
          <w:b/>
          <w:bCs/>
          <w:noProof/>
          <w:sz w:val="22"/>
          <w:szCs w:val="22"/>
        </w:rPr>
      </w:pPr>
      <w:r w:rsidRPr="002B2283">
        <w:rPr>
          <w:rFonts w:ascii="Arial" w:hAnsi="Arial" w:cs="Arial"/>
          <w:b/>
          <w:bCs/>
          <w:noProof/>
          <w:sz w:val="22"/>
          <w:szCs w:val="22"/>
          <w:u w:val="single"/>
        </w:rPr>
        <w:t>Důvody sledování</w:t>
      </w:r>
    </w:p>
    <w:p w:rsidR="00A05CCC" w:rsidRPr="002B2283" w:rsidRDefault="00A05CCC" w:rsidP="00450D7C">
      <w:pPr>
        <w:spacing w:line="300" w:lineRule="exact"/>
        <w:jc w:val="both"/>
        <w:rPr>
          <w:rFonts w:ascii="Arial" w:hAnsi="Arial" w:cs="Arial"/>
          <w:noProof/>
          <w:sz w:val="22"/>
          <w:szCs w:val="22"/>
        </w:rPr>
      </w:pPr>
    </w:p>
    <w:p w:rsidR="00450D7C" w:rsidRPr="002B2283" w:rsidRDefault="00450D7C" w:rsidP="00450D7C">
      <w:pPr>
        <w:spacing w:line="300" w:lineRule="exact"/>
        <w:jc w:val="both"/>
        <w:rPr>
          <w:rFonts w:ascii="Arial" w:hAnsi="Arial" w:cs="Arial"/>
          <w:noProof/>
          <w:sz w:val="22"/>
          <w:szCs w:val="22"/>
        </w:rPr>
      </w:pPr>
      <w:r w:rsidRPr="002B2283">
        <w:rPr>
          <w:rFonts w:ascii="Arial" w:hAnsi="Arial" w:cs="Arial"/>
          <w:noProof/>
          <w:sz w:val="22"/>
          <w:szCs w:val="22"/>
        </w:rPr>
        <w:t xml:space="preserve">Výrobce nebo dovozce musí zajistit, aby hračky při uvedení na trh byly bezpečné, aby za obvyklých nebo běžně předvídatelných podmínek nezpůsobily poškození zdraví fyzických osob, pro které jsou určeny (děti). </w:t>
      </w:r>
    </w:p>
    <w:p w:rsidR="00450D7C" w:rsidRPr="002B2283" w:rsidRDefault="00450D7C" w:rsidP="00450D7C">
      <w:pPr>
        <w:pStyle w:val="Zkladntext"/>
        <w:rPr>
          <w:rFonts w:cs="Arial"/>
          <w:szCs w:val="22"/>
        </w:rPr>
      </w:pPr>
      <w:r w:rsidRPr="002B2283">
        <w:rPr>
          <w:rFonts w:cs="Arial"/>
          <w:szCs w:val="22"/>
        </w:rPr>
        <w:t>V souladu s článkem 67 nařízení Evropského parlamentu a Rady (ES) č. 1907/2006 (REACH) odst. 1 se vybrané ftaláty obsažené v předmětu nesmějí vyrábět, uvádět na trh ani používat, pokud nesplňují podmínky omezení stanovených v řádcích 51 a 52 přílohy XVII REACH.</w:t>
      </w:r>
    </w:p>
    <w:p w:rsidR="00450D7C" w:rsidRPr="002B2283" w:rsidRDefault="00450D7C" w:rsidP="00A05CCC">
      <w:pPr>
        <w:pStyle w:val="Zkladntext"/>
        <w:rPr>
          <w:rFonts w:cs="Arial"/>
          <w:color w:val="auto"/>
          <w:szCs w:val="22"/>
        </w:rPr>
      </w:pPr>
      <w:r w:rsidRPr="002B2283">
        <w:rPr>
          <w:rFonts w:cs="Arial"/>
          <w:color w:val="auto"/>
          <w:szCs w:val="22"/>
        </w:rPr>
        <w:t>V systému rychlého varování pro nepotravinářské výrobky RAPEX (</w:t>
      </w:r>
      <w:hyperlink r:id="rId10" w:history="1">
        <w:r w:rsidRPr="002B2283">
          <w:rPr>
            <w:rFonts w:cs="Arial"/>
            <w:color w:val="auto"/>
            <w:szCs w:val="22"/>
          </w:rPr>
          <w:t xml:space="preserve">Rapid Alert System for dangerous non-food products) </w:t>
        </w:r>
      </w:hyperlink>
      <w:r w:rsidRPr="002B2283">
        <w:rPr>
          <w:rFonts w:cs="Arial"/>
          <w:color w:val="auto"/>
          <w:szCs w:val="22"/>
        </w:rPr>
        <w:t xml:space="preserve">se v poslední době systematicky objevují informace o plastových hračkách nebo hračkách s měkčenými částmi obsahujících vybrané ftaláty. </w:t>
      </w:r>
    </w:p>
    <w:p w:rsidR="00450D7C" w:rsidRPr="002B2283" w:rsidRDefault="00450D7C" w:rsidP="00450D7C">
      <w:pPr>
        <w:pStyle w:val="Zkladntext"/>
        <w:spacing w:after="100"/>
        <w:rPr>
          <w:rFonts w:cs="Arial"/>
          <w:szCs w:val="22"/>
        </w:rPr>
      </w:pPr>
      <w:r w:rsidRPr="002B2283">
        <w:rPr>
          <w:rFonts w:cs="Arial"/>
          <w:szCs w:val="22"/>
        </w:rPr>
        <w:t>O</w:t>
      </w:r>
      <w:r w:rsidR="00B1409B" w:rsidRPr="002B2283">
        <w:rPr>
          <w:rFonts w:cs="Arial"/>
          <w:szCs w:val="22"/>
        </w:rPr>
        <w:t>rgány ochrany veřejného zdraví</w:t>
      </w:r>
      <w:r w:rsidRPr="002B2283">
        <w:rPr>
          <w:rFonts w:cs="Arial"/>
          <w:szCs w:val="22"/>
        </w:rPr>
        <w:t xml:space="preserve"> se notifikacemi pravidelně zabývají a v rámci výkonu státního zdravotního dozoru byl potvrzen výskyt tohoto typu nevyhovujících hraček na českém trhu, a to v poměrně značném množství. Důvodem k vyhlášení nebezpečných výrobků byl, stejně jako u dalších obdobných výrobků notifikovaných v systému RAPEX, </w:t>
      </w:r>
      <w:r w:rsidRPr="002B2283">
        <w:rPr>
          <w:rFonts w:cs="Arial"/>
          <w:szCs w:val="22"/>
        </w:rPr>
        <w:lastRenderedPageBreak/>
        <w:t xml:space="preserve">nadlimitní obsah vybraných ftalátů. Dalším identifikovaným problémem je nemožnost dosledování původu výrobku. Často není znám dovozce či distributor, údaje o výrobci bývají nepravdivé. </w:t>
      </w:r>
    </w:p>
    <w:p w:rsidR="005F331E" w:rsidRPr="002B2283" w:rsidRDefault="005F331E" w:rsidP="00A11897">
      <w:pPr>
        <w:snapToGrid w:val="0"/>
        <w:spacing w:after="120" w:line="300" w:lineRule="exact"/>
        <w:jc w:val="both"/>
        <w:rPr>
          <w:rFonts w:ascii="Arial" w:hAnsi="Arial" w:cs="Arial"/>
          <w:noProof/>
          <w:sz w:val="22"/>
          <w:szCs w:val="22"/>
        </w:rPr>
      </w:pPr>
      <w:r w:rsidRPr="002B2283">
        <w:rPr>
          <w:rFonts w:ascii="Arial" w:hAnsi="Arial" w:cs="Arial"/>
          <w:noProof/>
          <w:sz w:val="22"/>
          <w:szCs w:val="22"/>
        </w:rPr>
        <w:t xml:space="preserve">V roce 2014 (na základě výsledků SZD a informací ze systému RAPEX) byly realizovány ve spolupráci s orgány celní správy dvě etapy </w:t>
      </w:r>
      <w:r w:rsidR="00A05CCC" w:rsidRPr="002B2283">
        <w:rPr>
          <w:rFonts w:ascii="Arial" w:hAnsi="Arial" w:cs="Arial"/>
          <w:noProof/>
          <w:sz w:val="22"/>
          <w:szCs w:val="22"/>
        </w:rPr>
        <w:t>SZD</w:t>
      </w:r>
      <w:r w:rsidRPr="002B2283">
        <w:rPr>
          <w:rFonts w:ascii="Arial" w:hAnsi="Arial" w:cs="Arial"/>
          <w:noProof/>
          <w:sz w:val="22"/>
          <w:szCs w:val="22"/>
        </w:rPr>
        <w:t xml:space="preserve"> zaměřeného na kontrolu hraček – panenek s měkčenými částmi. Celkem bylo posuzováno 132 výrobků, 60  výrobků (tj. 47 %) nevyhovělo, 62 (53 %) vyhovělo. V tržní síti bylo nalezeno v  roce 2014 70 % nevyhovujících výrobků. </w:t>
      </w:r>
    </w:p>
    <w:p w:rsidR="00A11897" w:rsidRPr="002B2283" w:rsidRDefault="00A11897" w:rsidP="00A11897">
      <w:pPr>
        <w:snapToGrid w:val="0"/>
        <w:spacing w:after="120" w:line="300" w:lineRule="exact"/>
        <w:jc w:val="both"/>
        <w:rPr>
          <w:rFonts w:ascii="Arial" w:hAnsi="Arial" w:cs="Arial"/>
          <w:noProof/>
          <w:sz w:val="22"/>
          <w:szCs w:val="22"/>
        </w:rPr>
      </w:pPr>
      <w:r w:rsidRPr="002B2283">
        <w:rPr>
          <w:rFonts w:ascii="Arial" w:hAnsi="Arial" w:cs="Arial"/>
          <w:noProof/>
          <w:sz w:val="22"/>
          <w:szCs w:val="22"/>
        </w:rPr>
        <w:t>Ve spolupráci s orgány celní správy byl v</w:t>
      </w:r>
      <w:r w:rsidR="00450D7C" w:rsidRPr="002B2283">
        <w:rPr>
          <w:rFonts w:ascii="Arial" w:hAnsi="Arial" w:cs="Arial"/>
          <w:noProof/>
          <w:sz w:val="22"/>
          <w:szCs w:val="22"/>
        </w:rPr>
        <w:t>e druhé polovině roku 2014 realizován</w:t>
      </w:r>
      <w:r w:rsidRPr="002B2283">
        <w:rPr>
          <w:rFonts w:ascii="Arial" w:hAnsi="Arial" w:cs="Arial"/>
          <w:noProof/>
          <w:sz w:val="22"/>
          <w:szCs w:val="22"/>
        </w:rPr>
        <w:t xml:space="preserve"> další cílený úkol </w:t>
      </w:r>
      <w:r w:rsidR="00450D7C" w:rsidRPr="002B2283">
        <w:rPr>
          <w:rFonts w:ascii="Arial" w:hAnsi="Arial" w:cs="Arial"/>
          <w:noProof/>
          <w:sz w:val="22"/>
          <w:szCs w:val="22"/>
        </w:rPr>
        <w:t>zaměřený na kontrolu plastových hraček ve tvarech jiných než lidské bytosti</w:t>
      </w:r>
      <w:r w:rsidRPr="002B2283">
        <w:rPr>
          <w:rFonts w:ascii="Arial" w:hAnsi="Arial" w:cs="Arial"/>
          <w:noProof/>
          <w:sz w:val="22"/>
          <w:szCs w:val="22"/>
        </w:rPr>
        <w:t>.</w:t>
      </w:r>
      <w:r w:rsidR="00450D7C" w:rsidRPr="002B2283">
        <w:rPr>
          <w:rFonts w:ascii="Arial" w:hAnsi="Arial" w:cs="Arial"/>
          <w:noProof/>
          <w:sz w:val="22"/>
          <w:szCs w:val="22"/>
        </w:rPr>
        <w:t xml:space="preserve"> </w:t>
      </w:r>
      <w:r w:rsidRPr="002B2283">
        <w:rPr>
          <w:rFonts w:ascii="Arial" w:hAnsi="Arial" w:cs="Arial"/>
          <w:noProof/>
          <w:sz w:val="22"/>
          <w:szCs w:val="22"/>
        </w:rPr>
        <w:t xml:space="preserve">V rámci tohoto úkolu bylo posouzeno 81 výrobků, z toho 15 výrobků (tj. 18 %) nevyhovělo. </w:t>
      </w:r>
    </w:p>
    <w:p w:rsidR="00450D7C" w:rsidRPr="002B2283" w:rsidRDefault="00A11897" w:rsidP="00A11897">
      <w:pPr>
        <w:snapToGrid w:val="0"/>
        <w:spacing w:after="120" w:line="300" w:lineRule="exact"/>
        <w:jc w:val="both"/>
        <w:rPr>
          <w:rFonts w:ascii="Arial" w:hAnsi="Arial" w:cs="Arial"/>
          <w:noProof/>
          <w:sz w:val="22"/>
          <w:szCs w:val="22"/>
        </w:rPr>
      </w:pPr>
      <w:r w:rsidRPr="002B2283">
        <w:rPr>
          <w:rFonts w:ascii="Arial" w:hAnsi="Arial" w:cs="Arial"/>
          <w:noProof/>
          <w:sz w:val="22"/>
          <w:szCs w:val="22"/>
        </w:rPr>
        <w:t xml:space="preserve">V </w:t>
      </w:r>
      <w:r w:rsidR="00450D7C" w:rsidRPr="002B2283">
        <w:rPr>
          <w:rFonts w:ascii="Arial" w:hAnsi="Arial" w:cs="Arial"/>
          <w:noProof/>
          <w:sz w:val="22"/>
          <w:szCs w:val="22"/>
        </w:rPr>
        <w:t>roce 2015 bylo v tržní síti odebráno a podrobeno laboratorním analýzám 66 výrobků</w:t>
      </w:r>
      <w:r w:rsidRPr="002B2283">
        <w:rPr>
          <w:rFonts w:ascii="Arial" w:hAnsi="Arial" w:cs="Arial"/>
          <w:noProof/>
          <w:sz w:val="22"/>
          <w:szCs w:val="22"/>
        </w:rPr>
        <w:t xml:space="preserve"> - plastových hraček ve tvarech jiných než lidské bytosti</w:t>
      </w:r>
      <w:r w:rsidR="00450D7C" w:rsidRPr="002B2283">
        <w:rPr>
          <w:rFonts w:ascii="Arial" w:hAnsi="Arial" w:cs="Arial"/>
          <w:noProof/>
          <w:sz w:val="22"/>
          <w:szCs w:val="22"/>
        </w:rPr>
        <w:t>, z toho bylo 18 výrobků nevyhovujících (tj. 27 %)</w:t>
      </w:r>
      <w:r w:rsidRPr="002B2283">
        <w:rPr>
          <w:rFonts w:ascii="Arial" w:hAnsi="Arial" w:cs="Arial"/>
          <w:noProof/>
          <w:sz w:val="22"/>
          <w:szCs w:val="22"/>
        </w:rPr>
        <w:t xml:space="preserve"> z hlediska obsahu esterů kyseliny ftalové. </w:t>
      </w:r>
    </w:p>
    <w:p w:rsidR="00450D7C" w:rsidRPr="002B2283" w:rsidRDefault="00450D7C" w:rsidP="00A11897">
      <w:pPr>
        <w:snapToGrid w:val="0"/>
        <w:spacing w:after="120" w:line="300" w:lineRule="exact"/>
        <w:jc w:val="both"/>
        <w:rPr>
          <w:rFonts w:ascii="Arial" w:hAnsi="Arial" w:cs="Arial"/>
          <w:noProof/>
          <w:sz w:val="22"/>
          <w:szCs w:val="22"/>
        </w:rPr>
      </w:pPr>
      <w:r w:rsidRPr="002B2283">
        <w:rPr>
          <w:rFonts w:ascii="Arial" w:hAnsi="Arial" w:cs="Arial"/>
          <w:noProof/>
          <w:sz w:val="22"/>
          <w:szCs w:val="22"/>
        </w:rPr>
        <w:t xml:space="preserve">Nevyhovující hračky </w:t>
      </w:r>
      <w:r w:rsidR="00A11897" w:rsidRPr="002B2283">
        <w:rPr>
          <w:rFonts w:ascii="Arial" w:hAnsi="Arial" w:cs="Arial"/>
          <w:noProof/>
          <w:sz w:val="22"/>
          <w:szCs w:val="22"/>
        </w:rPr>
        <w:t xml:space="preserve">(plastové hračky s měkčenými částmi – </w:t>
      </w:r>
      <w:r w:rsidRPr="002B2283">
        <w:rPr>
          <w:rFonts w:ascii="Arial" w:hAnsi="Arial" w:cs="Arial"/>
          <w:noProof/>
          <w:sz w:val="22"/>
          <w:szCs w:val="22"/>
        </w:rPr>
        <w:t>panenky</w:t>
      </w:r>
      <w:r w:rsidR="00A11897" w:rsidRPr="002B2283">
        <w:rPr>
          <w:rFonts w:ascii="Arial" w:hAnsi="Arial" w:cs="Arial"/>
          <w:noProof/>
          <w:sz w:val="22"/>
          <w:szCs w:val="22"/>
        </w:rPr>
        <w:t xml:space="preserve"> nebo jiné tvary) j</w:t>
      </w:r>
      <w:r w:rsidRPr="002B2283">
        <w:rPr>
          <w:rFonts w:ascii="Arial" w:hAnsi="Arial" w:cs="Arial"/>
          <w:noProof/>
          <w:sz w:val="22"/>
          <w:szCs w:val="22"/>
        </w:rPr>
        <w:t xml:space="preserve">sou však na trhu nacházeny stále a v poměrně značném počtu, a to i přes značné úsilí orgánů ochrany veřejného zdraví. V některých případech se jedná o přeznačení již vyhlášených nebezpečných výrobků, uvedení nesprávných a zavádějících informacích v označení (např. neexistující EAN kód, neexistující adresa distributora nebo výrobce nebo dovozce) nebo nezajištění sledovatelnosti výrobků (např. neexistující nebo falešné nabývací doklady). </w:t>
      </w:r>
    </w:p>
    <w:p w:rsidR="00450D7C" w:rsidRPr="002B2283" w:rsidRDefault="00450D7C" w:rsidP="00524A78">
      <w:pPr>
        <w:spacing w:after="120" w:line="300" w:lineRule="exact"/>
        <w:jc w:val="both"/>
        <w:rPr>
          <w:rFonts w:ascii="Arial" w:hAnsi="Arial" w:cs="Arial"/>
          <w:noProof/>
          <w:sz w:val="22"/>
          <w:szCs w:val="22"/>
        </w:rPr>
      </w:pPr>
      <w:r w:rsidRPr="002B2283">
        <w:rPr>
          <w:rFonts w:ascii="Arial" w:hAnsi="Arial" w:cs="Arial"/>
          <w:noProof/>
          <w:sz w:val="22"/>
          <w:szCs w:val="22"/>
        </w:rPr>
        <w:t xml:space="preserve">Předmětem </w:t>
      </w:r>
      <w:r w:rsidR="00A11897" w:rsidRPr="002B2283">
        <w:rPr>
          <w:rFonts w:ascii="Arial" w:hAnsi="Arial" w:cs="Arial"/>
          <w:noProof/>
          <w:sz w:val="22"/>
          <w:szCs w:val="22"/>
        </w:rPr>
        <w:t xml:space="preserve">cíleného SZD v roce 2016 </w:t>
      </w:r>
      <w:r w:rsidRPr="002B2283">
        <w:rPr>
          <w:rFonts w:ascii="Arial" w:hAnsi="Arial" w:cs="Arial"/>
          <w:noProof/>
          <w:sz w:val="22"/>
          <w:szCs w:val="22"/>
        </w:rPr>
        <w:t xml:space="preserve">byly panenky o velikosti cca 10 – 30 cm, štíhlého typu obsahující měkčené části. Někdy bývá součástí balení různé příslušenství, </w:t>
      </w:r>
      <w:r w:rsidR="00A11897" w:rsidRPr="002B2283">
        <w:rPr>
          <w:rFonts w:ascii="Arial" w:hAnsi="Arial" w:cs="Arial"/>
          <w:noProof/>
          <w:sz w:val="22"/>
          <w:szCs w:val="22"/>
        </w:rPr>
        <w:t xml:space="preserve">např. oděvní doplňky, obuv atd. </w:t>
      </w:r>
      <w:r w:rsidRPr="002B2283">
        <w:rPr>
          <w:rFonts w:ascii="Arial" w:hAnsi="Arial" w:cs="Arial"/>
          <w:noProof/>
          <w:sz w:val="22"/>
          <w:szCs w:val="22"/>
        </w:rPr>
        <w:t>Jedná se zpravidla o výro</w:t>
      </w:r>
      <w:r w:rsidR="00A11897" w:rsidRPr="002B2283">
        <w:rPr>
          <w:rFonts w:ascii="Arial" w:hAnsi="Arial" w:cs="Arial"/>
          <w:noProof/>
          <w:sz w:val="22"/>
          <w:szCs w:val="22"/>
        </w:rPr>
        <w:t>bky z levného cenového segmentu</w:t>
      </w:r>
      <w:r w:rsidRPr="002B2283">
        <w:rPr>
          <w:rFonts w:ascii="Arial" w:hAnsi="Arial" w:cs="Arial"/>
          <w:noProof/>
          <w:sz w:val="22"/>
          <w:szCs w:val="22"/>
        </w:rPr>
        <w:t>. V případě plastových hraček se jedn</w:t>
      </w:r>
      <w:r w:rsidR="00A11897" w:rsidRPr="002B2283">
        <w:rPr>
          <w:rFonts w:ascii="Arial" w:hAnsi="Arial" w:cs="Arial"/>
          <w:noProof/>
          <w:sz w:val="22"/>
          <w:szCs w:val="22"/>
        </w:rPr>
        <w:t>alo</w:t>
      </w:r>
      <w:r w:rsidRPr="002B2283">
        <w:rPr>
          <w:rFonts w:ascii="Arial" w:hAnsi="Arial" w:cs="Arial"/>
          <w:noProof/>
          <w:sz w:val="22"/>
          <w:szCs w:val="22"/>
        </w:rPr>
        <w:t xml:space="preserve"> o různé tvary jiné, než lidské bytosti, měkčené plastové, např. ve tvaru zvířátek, sety hraček, nebo dalších nejrůznějších tvarů, včetně hraček nafukovacích. </w:t>
      </w:r>
    </w:p>
    <w:p w:rsidR="00450D7C" w:rsidRPr="002B2283" w:rsidRDefault="00450D7C" w:rsidP="00450D7C">
      <w:pPr>
        <w:pStyle w:val="Zkladntext"/>
        <w:rPr>
          <w:rFonts w:cs="Arial"/>
          <w:szCs w:val="22"/>
        </w:rPr>
      </w:pPr>
      <w:r w:rsidRPr="002B2283">
        <w:rPr>
          <w:rFonts w:cs="Arial"/>
          <w:szCs w:val="22"/>
        </w:rPr>
        <w:t xml:space="preserve">Riziko obsahu vybraných ftalátů v hračce spočívá v tom, že při hře mohou estery kyseliny ftalové přicházet do kontaktu s ústy a kůží dítěte, mohou přecházet do slin, ulpívat na rtech a sliznici a v neposlední řadě mohou být společně se slinami konzumovány. Mnohé vybrané ftaláty nepříznivě ovlivňují lidské zdraví, zejména reprodukční orgány. </w:t>
      </w:r>
    </w:p>
    <w:p w:rsidR="0073094C" w:rsidRPr="002B2283" w:rsidRDefault="0073094C" w:rsidP="00321743">
      <w:pPr>
        <w:tabs>
          <w:tab w:val="num" w:pos="567"/>
        </w:tabs>
        <w:spacing w:line="300" w:lineRule="exact"/>
        <w:jc w:val="both"/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321743" w:rsidRPr="002B2283" w:rsidRDefault="00321743" w:rsidP="00321743">
      <w:pPr>
        <w:tabs>
          <w:tab w:val="num" w:pos="567"/>
        </w:tabs>
        <w:spacing w:line="300" w:lineRule="exact"/>
        <w:jc w:val="both"/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B2283">
        <w:rPr>
          <w:rFonts w:ascii="Arial" w:hAnsi="Arial" w:cs="Arial"/>
          <w:b/>
          <w:bCs/>
          <w:noProof/>
          <w:sz w:val="22"/>
          <w:szCs w:val="22"/>
          <w:u w:val="single"/>
        </w:rPr>
        <w:t>Výsledky cíleného státního zdravotního dozoru</w:t>
      </w:r>
    </w:p>
    <w:p w:rsidR="00580432" w:rsidRPr="002B2283" w:rsidRDefault="00580432" w:rsidP="00A02165">
      <w:pPr>
        <w:spacing w:line="300" w:lineRule="exact"/>
        <w:ind w:left="360"/>
        <w:jc w:val="both"/>
        <w:rPr>
          <w:rFonts w:ascii="Arial" w:hAnsi="Arial" w:cs="Arial"/>
          <w:b/>
          <w:noProof/>
          <w:sz w:val="22"/>
          <w:szCs w:val="22"/>
        </w:rPr>
      </w:pPr>
    </w:p>
    <w:p w:rsidR="00580432" w:rsidRPr="002B2283" w:rsidRDefault="00524A78" w:rsidP="00524A78">
      <w:pPr>
        <w:spacing w:line="300" w:lineRule="exact"/>
        <w:jc w:val="both"/>
        <w:rPr>
          <w:rFonts w:ascii="Arial" w:hAnsi="Arial" w:cs="Arial"/>
          <w:noProof/>
          <w:sz w:val="22"/>
          <w:szCs w:val="22"/>
        </w:rPr>
      </w:pPr>
      <w:r w:rsidRPr="002B2283">
        <w:rPr>
          <w:rFonts w:ascii="Arial" w:hAnsi="Arial" w:cs="Arial"/>
          <w:noProof/>
          <w:sz w:val="22"/>
          <w:szCs w:val="22"/>
        </w:rPr>
        <w:t xml:space="preserve">V rámci </w:t>
      </w:r>
      <w:r w:rsidR="0096142A" w:rsidRPr="002B2283">
        <w:rPr>
          <w:rFonts w:ascii="Arial" w:hAnsi="Arial" w:cs="Arial"/>
          <w:noProof/>
          <w:sz w:val="22"/>
          <w:szCs w:val="22"/>
        </w:rPr>
        <w:t>cíleného úkolu bylo odebráno 90</w:t>
      </w:r>
      <w:r w:rsidRPr="002B2283">
        <w:rPr>
          <w:rFonts w:ascii="Arial" w:hAnsi="Arial" w:cs="Arial"/>
          <w:noProof/>
          <w:sz w:val="22"/>
          <w:szCs w:val="22"/>
        </w:rPr>
        <w:t xml:space="preserve"> vzorků hraček spadajících pod kódy </w:t>
      </w:r>
      <w:r w:rsidR="00A11897" w:rsidRPr="002B2283">
        <w:rPr>
          <w:rFonts w:ascii="Arial" w:hAnsi="Arial" w:cs="Arial"/>
          <w:noProof/>
          <w:sz w:val="22"/>
          <w:szCs w:val="22"/>
        </w:rPr>
        <w:t xml:space="preserve">(celní sazebník) </w:t>
      </w:r>
      <w:r w:rsidRPr="002B2283">
        <w:rPr>
          <w:rFonts w:ascii="Arial" w:hAnsi="Arial" w:cs="Arial"/>
          <w:noProof/>
          <w:sz w:val="22"/>
          <w:szCs w:val="22"/>
        </w:rPr>
        <w:t>9503003 a 9503002190.</w:t>
      </w:r>
      <w:r w:rsidR="0096142A" w:rsidRPr="002B2283">
        <w:rPr>
          <w:rFonts w:ascii="Arial" w:hAnsi="Arial" w:cs="Arial"/>
          <w:noProof/>
          <w:sz w:val="22"/>
          <w:szCs w:val="22"/>
        </w:rPr>
        <w:t xml:space="preserve"> Z tohoto počtu bylo 29 vzorků hodnoceno jako nevyhovujících z hlediska obsahu esterů kyseliny ftalové (DEHP – di(2-ethylhexyl)ftalátu), tj. 32%. </w:t>
      </w:r>
    </w:p>
    <w:p w:rsidR="00A651AF" w:rsidRPr="002B2283" w:rsidRDefault="00A651AF" w:rsidP="00524A78">
      <w:pPr>
        <w:spacing w:line="300" w:lineRule="exact"/>
        <w:jc w:val="both"/>
        <w:rPr>
          <w:rFonts w:ascii="Arial" w:hAnsi="Arial" w:cs="Arial"/>
          <w:noProof/>
          <w:sz w:val="22"/>
          <w:szCs w:val="22"/>
        </w:rPr>
      </w:pPr>
    </w:p>
    <w:p w:rsidR="00A90BCD" w:rsidRPr="002B2283" w:rsidRDefault="00A90BCD" w:rsidP="00524A78">
      <w:pPr>
        <w:spacing w:line="300" w:lineRule="exact"/>
        <w:jc w:val="both"/>
        <w:rPr>
          <w:rFonts w:ascii="Arial" w:hAnsi="Arial" w:cs="Arial"/>
          <w:noProof/>
          <w:sz w:val="22"/>
          <w:szCs w:val="22"/>
        </w:rPr>
      </w:pPr>
      <w:r w:rsidRPr="002B2283">
        <w:rPr>
          <w:rFonts w:ascii="Arial" w:hAnsi="Arial" w:cs="Arial"/>
          <w:noProof/>
          <w:sz w:val="22"/>
          <w:szCs w:val="22"/>
        </w:rPr>
        <w:t>Průběžně probíhá spolupráce s celními orgány, kdy krajské hygienické stanice na požádání poskytují odborná vyjádření</w:t>
      </w:r>
      <w:r w:rsidR="00F031F7" w:rsidRPr="002B2283">
        <w:rPr>
          <w:rFonts w:ascii="Arial" w:hAnsi="Arial" w:cs="Arial"/>
          <w:noProof/>
          <w:sz w:val="22"/>
          <w:szCs w:val="22"/>
        </w:rPr>
        <w:t xml:space="preserve"> (není součástí cíleného úkolu), n</w:t>
      </w:r>
      <w:r w:rsidRPr="002B2283">
        <w:rPr>
          <w:rFonts w:ascii="Arial" w:hAnsi="Arial" w:cs="Arial"/>
          <w:noProof/>
          <w:sz w:val="22"/>
          <w:szCs w:val="22"/>
        </w:rPr>
        <w:t>apř.</w:t>
      </w:r>
      <w:r w:rsidR="00F031F7" w:rsidRPr="002B2283">
        <w:rPr>
          <w:rFonts w:ascii="Arial" w:hAnsi="Arial" w:cs="Arial"/>
          <w:noProof/>
          <w:sz w:val="22"/>
          <w:szCs w:val="22"/>
        </w:rPr>
        <w:t xml:space="preserve"> v Jihočeském kraji byla na vstupu do Evropské unie posuzováno 7 výrobků (hraček), které všechny byly hodnoceny jako vyhovující relevantním právním předpisům. </w:t>
      </w:r>
      <w:r w:rsidRPr="002B2283">
        <w:rPr>
          <w:rFonts w:ascii="Arial" w:hAnsi="Arial" w:cs="Arial"/>
          <w:noProof/>
          <w:sz w:val="22"/>
          <w:szCs w:val="22"/>
        </w:rPr>
        <w:t xml:space="preserve"> </w:t>
      </w:r>
    </w:p>
    <w:p w:rsidR="0096142A" w:rsidRPr="002B2283" w:rsidRDefault="0096142A" w:rsidP="00524A78">
      <w:pPr>
        <w:spacing w:line="300" w:lineRule="exact"/>
        <w:jc w:val="both"/>
        <w:rPr>
          <w:rFonts w:ascii="Arial" w:hAnsi="Arial" w:cs="Arial"/>
          <w:noProof/>
          <w:sz w:val="22"/>
          <w:szCs w:val="22"/>
        </w:rPr>
      </w:pPr>
    </w:p>
    <w:p w:rsidR="0096142A" w:rsidRPr="002B2283" w:rsidRDefault="000021B4" w:rsidP="00524A78">
      <w:pPr>
        <w:spacing w:line="300" w:lineRule="exact"/>
        <w:jc w:val="both"/>
        <w:rPr>
          <w:rFonts w:ascii="Arial" w:hAnsi="Arial" w:cs="Arial"/>
          <w:noProof/>
          <w:sz w:val="22"/>
          <w:szCs w:val="22"/>
        </w:rPr>
      </w:pPr>
      <w:r w:rsidRPr="002B2283">
        <w:rPr>
          <w:rFonts w:ascii="Arial" w:hAnsi="Arial" w:cs="Arial"/>
          <w:noProof/>
          <w:sz w:val="22"/>
          <w:szCs w:val="22"/>
        </w:rPr>
        <w:lastRenderedPageBreak/>
        <w:t xml:space="preserve">Následující tabulka uvádí počty analyzovaných vzorků hraček s měkčenými částmi (panenky a ostatní tvary) a </w:t>
      </w:r>
      <w:r w:rsidR="005C5329" w:rsidRPr="002B2283">
        <w:rPr>
          <w:rFonts w:ascii="Arial" w:hAnsi="Arial" w:cs="Arial"/>
          <w:noProof/>
          <w:sz w:val="22"/>
          <w:szCs w:val="22"/>
        </w:rPr>
        <w:t>počt</w:t>
      </w:r>
      <w:r w:rsidRPr="002B2283">
        <w:rPr>
          <w:rFonts w:ascii="Arial" w:hAnsi="Arial" w:cs="Arial"/>
          <w:noProof/>
          <w:sz w:val="22"/>
          <w:szCs w:val="22"/>
        </w:rPr>
        <w:t>y</w:t>
      </w:r>
      <w:r w:rsidR="005C5329" w:rsidRPr="002B2283">
        <w:rPr>
          <w:rFonts w:ascii="Arial" w:hAnsi="Arial" w:cs="Arial"/>
          <w:noProof/>
          <w:sz w:val="22"/>
          <w:szCs w:val="22"/>
        </w:rPr>
        <w:t xml:space="preserve"> nevyhovujících vzorků hraček</w:t>
      </w:r>
      <w:r w:rsidRPr="002B2283">
        <w:rPr>
          <w:rFonts w:ascii="Arial" w:hAnsi="Arial" w:cs="Arial"/>
          <w:noProof/>
          <w:sz w:val="22"/>
          <w:szCs w:val="22"/>
        </w:rPr>
        <w:t xml:space="preserve"> </w:t>
      </w:r>
      <w:r w:rsidR="005C5329" w:rsidRPr="002B2283">
        <w:rPr>
          <w:rFonts w:ascii="Arial" w:hAnsi="Arial" w:cs="Arial"/>
          <w:noProof/>
          <w:sz w:val="22"/>
          <w:szCs w:val="22"/>
        </w:rPr>
        <w:t>za roky 2013, 2014, 2015 a 2016</w:t>
      </w:r>
      <w:r w:rsidRPr="002B2283">
        <w:rPr>
          <w:rFonts w:ascii="Arial" w:hAnsi="Arial" w:cs="Arial"/>
          <w:noProof/>
          <w:sz w:val="22"/>
          <w:szCs w:val="22"/>
        </w:rPr>
        <w:t xml:space="preserve"> odebraných v tržní síti:</w:t>
      </w:r>
    </w:p>
    <w:p w:rsidR="00A651AF" w:rsidRPr="002B2283" w:rsidRDefault="00A651AF" w:rsidP="00524A78">
      <w:pPr>
        <w:spacing w:line="300" w:lineRule="exact"/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Style w:val="Stednseznam1zvraznn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1984"/>
        <w:gridCol w:w="2410"/>
      </w:tblGrid>
      <w:tr w:rsidR="00F031F7" w:rsidRPr="002B2283" w:rsidTr="00002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bottom w:val="none" w:sz="0" w:space="0" w:color="auto"/>
            </w:tcBorders>
          </w:tcPr>
          <w:p w:rsidR="0096142A" w:rsidRPr="002B2283" w:rsidRDefault="0096142A" w:rsidP="00524A78">
            <w:pPr>
              <w:spacing w:line="300" w:lineRule="exact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2B2283">
              <w:rPr>
                <w:rFonts w:ascii="Arial" w:hAnsi="Arial" w:cs="Arial"/>
                <w:noProof/>
                <w:sz w:val="22"/>
                <w:szCs w:val="22"/>
              </w:rPr>
              <w:t>rok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:rsidR="0096142A" w:rsidRPr="002B2283" w:rsidRDefault="0096142A" w:rsidP="00524A78">
            <w:pPr>
              <w:spacing w:line="30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B2283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počet analyzovaných vzorků </w:t>
            </w:r>
          </w:p>
        </w:tc>
        <w:tc>
          <w:tcPr>
            <w:tcW w:w="439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96142A" w:rsidRPr="002B2283" w:rsidRDefault="0096142A" w:rsidP="005C5329">
            <w:pPr>
              <w:spacing w:line="30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B2283">
              <w:rPr>
                <w:rFonts w:ascii="Arial" w:hAnsi="Arial" w:cs="Arial"/>
                <w:b/>
                <w:noProof/>
                <w:sz w:val="22"/>
                <w:szCs w:val="22"/>
              </w:rPr>
              <w:t>počet nevyhovujících vzorků</w:t>
            </w:r>
            <w:r w:rsidR="005C5329" w:rsidRPr="002B2283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(</w:t>
            </w:r>
            <w:r w:rsidRPr="002B2283">
              <w:rPr>
                <w:rFonts w:ascii="Arial" w:hAnsi="Arial" w:cs="Arial"/>
                <w:b/>
                <w:noProof/>
                <w:sz w:val="22"/>
                <w:szCs w:val="22"/>
              </w:rPr>
              <w:t>obsah</w:t>
            </w:r>
            <w:r w:rsidR="005C5329" w:rsidRPr="002B2283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esterů kyseliny ftalové)</w:t>
            </w:r>
          </w:p>
        </w:tc>
      </w:tr>
      <w:tr w:rsidR="00BE1E6A" w:rsidRPr="002B2283" w:rsidTr="0000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B3155" w:rsidRPr="002B2283" w:rsidRDefault="00CB3155" w:rsidP="00524A78">
            <w:pPr>
              <w:spacing w:line="300" w:lineRule="exact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2B2283">
              <w:rPr>
                <w:rFonts w:ascii="Arial" w:hAnsi="Arial" w:cs="Arial"/>
                <w:noProof/>
                <w:sz w:val="22"/>
                <w:szCs w:val="22"/>
              </w:rPr>
              <w:t>2013</w:t>
            </w:r>
          </w:p>
        </w:tc>
        <w:tc>
          <w:tcPr>
            <w:tcW w:w="2977" w:type="dxa"/>
          </w:tcPr>
          <w:p w:rsidR="00CB3155" w:rsidRPr="002B2283" w:rsidRDefault="005C5329" w:rsidP="000021B4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  <w:r w:rsidRPr="002B2283">
              <w:rPr>
                <w:rFonts w:ascii="Arial" w:hAnsi="Arial" w:cs="Arial"/>
                <w:noProof/>
                <w:sz w:val="22"/>
                <w:szCs w:val="22"/>
              </w:rPr>
              <w:t>6</w:t>
            </w:r>
            <w:r w:rsidR="00CB3155" w:rsidRPr="002B2283">
              <w:rPr>
                <w:rFonts w:ascii="Arial" w:hAnsi="Arial" w:cs="Arial"/>
                <w:noProof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CB3155" w:rsidRPr="002B2283" w:rsidRDefault="00CB3155" w:rsidP="000021B4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  <w:r w:rsidRPr="002B2283">
              <w:rPr>
                <w:rFonts w:ascii="Arial" w:hAnsi="Arial" w:cs="Arial"/>
                <w:noProof/>
                <w:sz w:val="22"/>
                <w:szCs w:val="22"/>
              </w:rPr>
              <w:t>46</w:t>
            </w:r>
          </w:p>
        </w:tc>
        <w:tc>
          <w:tcPr>
            <w:tcW w:w="2410" w:type="dxa"/>
          </w:tcPr>
          <w:p w:rsidR="00CB3155" w:rsidRPr="002B2283" w:rsidRDefault="00CB3155" w:rsidP="000021B4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  <w:r w:rsidRPr="002B2283">
              <w:rPr>
                <w:rFonts w:ascii="Arial" w:hAnsi="Arial" w:cs="Arial"/>
                <w:noProof/>
                <w:sz w:val="22"/>
                <w:szCs w:val="22"/>
              </w:rPr>
              <w:t>70%</w:t>
            </w:r>
          </w:p>
        </w:tc>
      </w:tr>
      <w:tr w:rsidR="00BE1E6A" w:rsidRPr="002B2283" w:rsidTr="000021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6142A" w:rsidRPr="002B2283" w:rsidRDefault="0096142A" w:rsidP="00524A78">
            <w:pPr>
              <w:spacing w:line="300" w:lineRule="exact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2B2283">
              <w:rPr>
                <w:rFonts w:ascii="Arial" w:hAnsi="Arial" w:cs="Arial"/>
                <w:noProof/>
                <w:sz w:val="22"/>
                <w:szCs w:val="22"/>
              </w:rPr>
              <w:t>2014</w:t>
            </w:r>
          </w:p>
        </w:tc>
        <w:tc>
          <w:tcPr>
            <w:tcW w:w="2977" w:type="dxa"/>
          </w:tcPr>
          <w:p w:rsidR="0096142A" w:rsidRPr="002B2283" w:rsidRDefault="00CB3155" w:rsidP="000021B4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  <w:r w:rsidRPr="002B2283">
              <w:rPr>
                <w:rFonts w:ascii="Arial" w:hAnsi="Arial" w:cs="Arial"/>
                <w:noProof/>
                <w:sz w:val="22"/>
                <w:szCs w:val="22"/>
              </w:rPr>
              <w:t>122</w:t>
            </w:r>
          </w:p>
        </w:tc>
        <w:tc>
          <w:tcPr>
            <w:tcW w:w="1984" w:type="dxa"/>
          </w:tcPr>
          <w:p w:rsidR="0096142A" w:rsidRPr="002B2283" w:rsidRDefault="00CB3155" w:rsidP="000021B4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  <w:r w:rsidRPr="002B2283">
              <w:rPr>
                <w:rFonts w:ascii="Arial" w:hAnsi="Arial" w:cs="Arial"/>
                <w:noProof/>
                <w:sz w:val="22"/>
                <w:szCs w:val="22"/>
              </w:rPr>
              <w:t>61</w:t>
            </w:r>
          </w:p>
        </w:tc>
        <w:tc>
          <w:tcPr>
            <w:tcW w:w="2410" w:type="dxa"/>
          </w:tcPr>
          <w:p w:rsidR="0096142A" w:rsidRPr="002B2283" w:rsidRDefault="00CB3155" w:rsidP="000021B4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  <w:r w:rsidRPr="002B2283">
              <w:rPr>
                <w:rFonts w:ascii="Arial" w:hAnsi="Arial" w:cs="Arial"/>
                <w:noProof/>
                <w:sz w:val="22"/>
                <w:szCs w:val="22"/>
              </w:rPr>
              <w:t>50%</w:t>
            </w:r>
          </w:p>
        </w:tc>
      </w:tr>
      <w:tr w:rsidR="00BE1E6A" w:rsidRPr="002B2283" w:rsidTr="0000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6142A" w:rsidRPr="002B2283" w:rsidRDefault="0096142A" w:rsidP="00524A78">
            <w:pPr>
              <w:spacing w:line="300" w:lineRule="exact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2B2283">
              <w:rPr>
                <w:rFonts w:ascii="Arial" w:hAnsi="Arial" w:cs="Arial"/>
                <w:noProof/>
                <w:sz w:val="22"/>
                <w:szCs w:val="22"/>
              </w:rPr>
              <w:t>2015</w:t>
            </w:r>
          </w:p>
        </w:tc>
        <w:tc>
          <w:tcPr>
            <w:tcW w:w="2977" w:type="dxa"/>
          </w:tcPr>
          <w:p w:rsidR="0096142A" w:rsidRPr="002B2283" w:rsidRDefault="0096142A" w:rsidP="000021B4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  <w:r w:rsidRPr="002B2283">
              <w:rPr>
                <w:rFonts w:ascii="Arial" w:hAnsi="Arial" w:cs="Arial"/>
                <w:noProof/>
                <w:sz w:val="22"/>
                <w:szCs w:val="22"/>
              </w:rPr>
              <w:t>66</w:t>
            </w:r>
          </w:p>
        </w:tc>
        <w:tc>
          <w:tcPr>
            <w:tcW w:w="1984" w:type="dxa"/>
          </w:tcPr>
          <w:p w:rsidR="0096142A" w:rsidRPr="002B2283" w:rsidRDefault="005F331E" w:rsidP="000021B4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  <w:r w:rsidRPr="002B2283">
              <w:rPr>
                <w:rFonts w:ascii="Arial" w:hAnsi="Arial" w:cs="Arial"/>
                <w:noProof/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96142A" w:rsidRPr="002B2283" w:rsidRDefault="005F331E" w:rsidP="000021B4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  <w:r w:rsidRPr="002B2283">
              <w:rPr>
                <w:rFonts w:ascii="Arial" w:hAnsi="Arial" w:cs="Arial"/>
                <w:noProof/>
                <w:sz w:val="22"/>
                <w:szCs w:val="22"/>
              </w:rPr>
              <w:t>27%</w:t>
            </w:r>
          </w:p>
        </w:tc>
      </w:tr>
      <w:tr w:rsidR="00BE1E6A" w:rsidRPr="002B2283" w:rsidTr="000021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6142A" w:rsidRPr="002B2283" w:rsidRDefault="0096142A" w:rsidP="00524A78">
            <w:pPr>
              <w:spacing w:line="300" w:lineRule="exact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2B2283">
              <w:rPr>
                <w:rFonts w:ascii="Arial" w:hAnsi="Arial" w:cs="Arial"/>
                <w:noProof/>
                <w:sz w:val="22"/>
                <w:szCs w:val="22"/>
              </w:rPr>
              <w:t>2016</w:t>
            </w:r>
          </w:p>
        </w:tc>
        <w:tc>
          <w:tcPr>
            <w:tcW w:w="2977" w:type="dxa"/>
          </w:tcPr>
          <w:p w:rsidR="0096142A" w:rsidRPr="002B2283" w:rsidRDefault="0096142A" w:rsidP="000021B4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  <w:r w:rsidRPr="002B2283">
              <w:rPr>
                <w:rFonts w:ascii="Arial" w:hAnsi="Arial" w:cs="Arial"/>
                <w:noProof/>
                <w:sz w:val="22"/>
                <w:szCs w:val="22"/>
              </w:rPr>
              <w:t>90</w:t>
            </w:r>
          </w:p>
        </w:tc>
        <w:tc>
          <w:tcPr>
            <w:tcW w:w="1984" w:type="dxa"/>
          </w:tcPr>
          <w:p w:rsidR="0096142A" w:rsidRPr="002B2283" w:rsidRDefault="0096142A" w:rsidP="000021B4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  <w:r w:rsidRPr="002B2283">
              <w:rPr>
                <w:rFonts w:ascii="Arial" w:hAnsi="Arial" w:cs="Arial"/>
                <w:noProof/>
                <w:sz w:val="22"/>
                <w:szCs w:val="22"/>
              </w:rPr>
              <w:t>32</w:t>
            </w:r>
          </w:p>
        </w:tc>
        <w:tc>
          <w:tcPr>
            <w:tcW w:w="2410" w:type="dxa"/>
          </w:tcPr>
          <w:p w:rsidR="0096142A" w:rsidRPr="002B2283" w:rsidRDefault="005F331E" w:rsidP="000021B4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  <w:r w:rsidRPr="002B2283">
              <w:rPr>
                <w:rFonts w:ascii="Arial" w:hAnsi="Arial" w:cs="Arial"/>
                <w:noProof/>
                <w:sz w:val="22"/>
                <w:szCs w:val="22"/>
              </w:rPr>
              <w:t>32%</w:t>
            </w:r>
          </w:p>
        </w:tc>
      </w:tr>
    </w:tbl>
    <w:p w:rsidR="0096142A" w:rsidRPr="002B2283" w:rsidRDefault="0096142A" w:rsidP="00524A78">
      <w:pPr>
        <w:spacing w:line="300" w:lineRule="exact"/>
        <w:jc w:val="both"/>
        <w:rPr>
          <w:rFonts w:ascii="Arial" w:hAnsi="Arial" w:cs="Arial"/>
          <w:noProof/>
          <w:sz w:val="22"/>
          <w:szCs w:val="22"/>
        </w:rPr>
      </w:pPr>
    </w:p>
    <w:p w:rsidR="00916A47" w:rsidRPr="002B2283" w:rsidRDefault="00A651AF" w:rsidP="00916A47">
      <w:pPr>
        <w:pStyle w:val="Zkladntext"/>
        <w:rPr>
          <w:rFonts w:cs="Arial"/>
          <w:szCs w:val="22"/>
        </w:rPr>
      </w:pPr>
      <w:r w:rsidRPr="002B2283">
        <w:rPr>
          <w:rFonts w:cs="Arial"/>
          <w:szCs w:val="22"/>
        </w:rPr>
        <w:t>Z uvedeného přehledu vyplývá, že situace na trhu se výrazně nelepší a výrobky</w:t>
      </w:r>
      <w:r w:rsidR="000021B4" w:rsidRPr="002B2283">
        <w:rPr>
          <w:rFonts w:cs="Arial"/>
          <w:szCs w:val="22"/>
        </w:rPr>
        <w:t xml:space="preserve"> nevyhovující požadavkům na obsah esterů kyseliny ftalové</w:t>
      </w:r>
      <w:r w:rsidRPr="002B2283">
        <w:rPr>
          <w:rFonts w:cs="Arial"/>
          <w:szCs w:val="22"/>
        </w:rPr>
        <w:t xml:space="preserve"> se přes vynaložené úsilí na trhu</w:t>
      </w:r>
      <w:r w:rsidR="000021B4" w:rsidRPr="002B2283">
        <w:rPr>
          <w:rFonts w:cs="Arial"/>
          <w:szCs w:val="22"/>
        </w:rPr>
        <w:t xml:space="preserve"> stále</w:t>
      </w:r>
      <w:r w:rsidRPr="002B2283">
        <w:rPr>
          <w:rFonts w:cs="Arial"/>
          <w:szCs w:val="22"/>
        </w:rPr>
        <w:t xml:space="preserve"> nalézají. </w:t>
      </w:r>
      <w:r w:rsidR="00A05CCC" w:rsidRPr="002B2283">
        <w:rPr>
          <w:rFonts w:cs="Arial"/>
          <w:szCs w:val="22"/>
        </w:rPr>
        <w:t>U naprosté většiny nevyhovujících výrobků je uveden původ v Čínské lidové republice.</w:t>
      </w:r>
    </w:p>
    <w:p w:rsidR="005C5329" w:rsidRPr="002B2283" w:rsidRDefault="005C5329" w:rsidP="00916A47">
      <w:pPr>
        <w:pStyle w:val="Zkladntext"/>
        <w:rPr>
          <w:rFonts w:cs="Arial"/>
          <w:szCs w:val="22"/>
        </w:rPr>
      </w:pPr>
      <w:r w:rsidRPr="002B2283">
        <w:rPr>
          <w:rFonts w:cs="Arial"/>
          <w:szCs w:val="22"/>
        </w:rPr>
        <w:t>Dalším</w:t>
      </w:r>
      <w:r w:rsidR="00A90BCD" w:rsidRPr="002B2283">
        <w:rPr>
          <w:rFonts w:cs="Arial"/>
          <w:szCs w:val="22"/>
        </w:rPr>
        <w:t xml:space="preserve"> velmi častým zjišťovaným nedostatkem je </w:t>
      </w:r>
      <w:r w:rsidR="000021B4" w:rsidRPr="002B2283">
        <w:rPr>
          <w:rFonts w:cs="Arial"/>
          <w:szCs w:val="22"/>
        </w:rPr>
        <w:t xml:space="preserve">nemožnost </w:t>
      </w:r>
      <w:r w:rsidR="00A90BCD" w:rsidRPr="002B2283">
        <w:rPr>
          <w:rFonts w:cs="Arial"/>
          <w:szCs w:val="22"/>
        </w:rPr>
        <w:t>dosledovat</w:t>
      </w:r>
      <w:r w:rsidR="000021B4" w:rsidRPr="002B2283">
        <w:rPr>
          <w:rFonts w:cs="Arial"/>
          <w:szCs w:val="22"/>
        </w:rPr>
        <w:t xml:space="preserve"> původ výrobku, neboť prodejce není</w:t>
      </w:r>
      <w:r w:rsidR="00A90BCD" w:rsidRPr="002B2283">
        <w:rPr>
          <w:rFonts w:cs="Arial"/>
          <w:szCs w:val="22"/>
        </w:rPr>
        <w:t xml:space="preserve"> schopen doložit nabývací doklady, nebo nabývací doklady nejsou pravdivé (dodací listy, </w:t>
      </w:r>
      <w:r w:rsidR="00BE1E6A" w:rsidRPr="002B2283">
        <w:rPr>
          <w:rFonts w:cs="Arial"/>
          <w:szCs w:val="22"/>
        </w:rPr>
        <w:t>f</w:t>
      </w:r>
      <w:r w:rsidR="00A90BCD" w:rsidRPr="002B2283">
        <w:rPr>
          <w:rFonts w:cs="Arial"/>
          <w:szCs w:val="22"/>
        </w:rPr>
        <w:t>aktury)</w:t>
      </w:r>
      <w:r w:rsidR="00BE1E6A" w:rsidRPr="002B2283">
        <w:rPr>
          <w:rFonts w:cs="Arial"/>
          <w:szCs w:val="22"/>
        </w:rPr>
        <w:t xml:space="preserve">, nebo jsou </w:t>
      </w:r>
      <w:r w:rsidR="00A05CCC" w:rsidRPr="002B2283">
        <w:rPr>
          <w:rFonts w:cs="Arial"/>
          <w:szCs w:val="22"/>
        </w:rPr>
        <w:t>případy</w:t>
      </w:r>
      <w:r w:rsidR="000021B4" w:rsidRPr="002B2283">
        <w:rPr>
          <w:rFonts w:cs="Arial"/>
          <w:szCs w:val="22"/>
        </w:rPr>
        <w:t xml:space="preserve"> doložení </w:t>
      </w:r>
      <w:r w:rsidR="00BE1E6A" w:rsidRPr="002B2283">
        <w:rPr>
          <w:rFonts w:cs="Arial"/>
          <w:szCs w:val="22"/>
        </w:rPr>
        <w:t>doklad</w:t>
      </w:r>
      <w:r w:rsidR="000021B4" w:rsidRPr="002B2283">
        <w:rPr>
          <w:rFonts w:cs="Arial"/>
          <w:szCs w:val="22"/>
        </w:rPr>
        <w:t>ů</w:t>
      </w:r>
      <w:r w:rsidR="00BE1E6A" w:rsidRPr="002B2283">
        <w:rPr>
          <w:rFonts w:cs="Arial"/>
          <w:szCs w:val="22"/>
        </w:rPr>
        <w:t xml:space="preserve"> </w:t>
      </w:r>
      <w:r w:rsidR="000021B4" w:rsidRPr="002B2283">
        <w:rPr>
          <w:rFonts w:cs="Arial"/>
          <w:szCs w:val="22"/>
        </w:rPr>
        <w:t xml:space="preserve">s </w:t>
      </w:r>
      <w:r w:rsidR="00BE1E6A" w:rsidRPr="002B2283">
        <w:rPr>
          <w:rFonts w:cs="Arial"/>
          <w:szCs w:val="22"/>
        </w:rPr>
        <w:t xml:space="preserve">datem vystavení </w:t>
      </w:r>
      <w:r w:rsidR="000021B4" w:rsidRPr="002B2283">
        <w:rPr>
          <w:rFonts w:cs="Arial"/>
          <w:szCs w:val="22"/>
        </w:rPr>
        <w:t xml:space="preserve">až </w:t>
      </w:r>
      <w:r w:rsidR="00BE1E6A" w:rsidRPr="002B2283">
        <w:rPr>
          <w:rFonts w:cs="Arial"/>
          <w:szCs w:val="22"/>
        </w:rPr>
        <w:t>po datu kontroly</w:t>
      </w:r>
      <w:r w:rsidR="00A90BCD" w:rsidRPr="002B2283">
        <w:rPr>
          <w:rFonts w:cs="Arial"/>
          <w:szCs w:val="22"/>
        </w:rPr>
        <w:t>. Hračky jsou často bez odpovídají</w:t>
      </w:r>
      <w:r w:rsidR="00A05CCC" w:rsidRPr="002B2283">
        <w:rPr>
          <w:rFonts w:cs="Arial"/>
          <w:szCs w:val="22"/>
        </w:rPr>
        <w:t>cí</w:t>
      </w:r>
      <w:r w:rsidR="00A90BCD" w:rsidRPr="002B2283">
        <w:rPr>
          <w:rFonts w:cs="Arial"/>
          <w:szCs w:val="22"/>
        </w:rPr>
        <w:t xml:space="preserve">ho značení, není uvedena odpovědná osoba, nebo jako odpovědná osoba je uvedena firma, kterou nelze dohledat. </w:t>
      </w:r>
      <w:r w:rsidRPr="002B2283">
        <w:rPr>
          <w:rFonts w:cs="Arial"/>
          <w:szCs w:val="22"/>
        </w:rPr>
        <w:t xml:space="preserve"> </w:t>
      </w:r>
      <w:r w:rsidR="00A90BCD" w:rsidRPr="002B2283">
        <w:rPr>
          <w:rFonts w:cs="Arial"/>
          <w:szCs w:val="22"/>
        </w:rPr>
        <w:t>Mezi další nedostatky patří uvádění čárových kódů, které neexistují nebo náleží jiným subjektům,</w:t>
      </w:r>
      <w:r w:rsidR="00BE1E6A" w:rsidRPr="002B2283">
        <w:rPr>
          <w:rFonts w:cs="Arial"/>
          <w:szCs w:val="22"/>
        </w:rPr>
        <w:t xml:space="preserve"> které s hračkami vůbec neobchodují,</w:t>
      </w:r>
      <w:r w:rsidR="00A90BCD" w:rsidRPr="002B2283">
        <w:rPr>
          <w:rFonts w:cs="Arial"/>
          <w:szCs w:val="22"/>
        </w:rPr>
        <w:t xml:space="preserve"> nebo čárový kód není uveden vůbec. </w:t>
      </w:r>
      <w:r w:rsidRPr="002B2283">
        <w:rPr>
          <w:rFonts w:cs="Arial"/>
          <w:szCs w:val="22"/>
        </w:rPr>
        <w:t xml:space="preserve"> </w:t>
      </w:r>
    </w:p>
    <w:p w:rsidR="004B52DC" w:rsidRPr="002B2283" w:rsidRDefault="004B52DC" w:rsidP="00A90BCD">
      <w:pPr>
        <w:pStyle w:val="Zkladntext"/>
        <w:spacing w:after="100"/>
        <w:rPr>
          <w:rFonts w:cs="Arial"/>
          <w:szCs w:val="22"/>
        </w:rPr>
      </w:pPr>
    </w:p>
    <w:p w:rsidR="00916A47" w:rsidRPr="002B2283" w:rsidRDefault="00BE1E6A" w:rsidP="00A90BCD">
      <w:pPr>
        <w:pStyle w:val="Zkladntext"/>
        <w:spacing w:after="100"/>
        <w:rPr>
          <w:rFonts w:cs="Arial"/>
          <w:szCs w:val="22"/>
        </w:rPr>
      </w:pPr>
      <w:r w:rsidRPr="002B2283">
        <w:rPr>
          <w:rFonts w:cs="Arial"/>
          <w:szCs w:val="22"/>
        </w:rPr>
        <w:t>V případě zjištění výrobků, které byly označeny na základě laboratorních analýz jako nebezpečné, byly vydány příkazy ke stažení výrobků z</w:t>
      </w:r>
      <w:r w:rsidR="000021B4" w:rsidRPr="002B2283">
        <w:rPr>
          <w:rFonts w:cs="Arial"/>
          <w:szCs w:val="22"/>
        </w:rPr>
        <w:t> </w:t>
      </w:r>
      <w:r w:rsidRPr="002B2283">
        <w:rPr>
          <w:rFonts w:cs="Arial"/>
          <w:szCs w:val="22"/>
        </w:rPr>
        <w:t>trhu</w:t>
      </w:r>
      <w:r w:rsidR="000021B4" w:rsidRPr="002B2283">
        <w:rPr>
          <w:rFonts w:cs="Arial"/>
          <w:szCs w:val="22"/>
        </w:rPr>
        <w:t>, a o výrobcích byla informována veřejnost (</w:t>
      </w:r>
      <w:hyperlink r:id="rId11" w:history="1">
        <w:r w:rsidR="000021B4" w:rsidRPr="002B2283">
          <w:rPr>
            <w:rStyle w:val="Hypertextovodkaz"/>
            <w:rFonts w:cs="Arial"/>
            <w:szCs w:val="22"/>
          </w:rPr>
          <w:t>http://www.mzcr.cz/obsah/nebezpecne-vyrobky_880_1.html</w:t>
        </w:r>
      </w:hyperlink>
      <w:r w:rsidR="000021B4" w:rsidRPr="002B2283">
        <w:rPr>
          <w:rFonts w:cs="Arial"/>
          <w:szCs w:val="22"/>
        </w:rPr>
        <w:t>)</w:t>
      </w:r>
      <w:r w:rsidRPr="002B2283">
        <w:rPr>
          <w:rFonts w:cs="Arial"/>
          <w:szCs w:val="22"/>
        </w:rPr>
        <w:t>.</w:t>
      </w:r>
      <w:r w:rsidR="000021B4" w:rsidRPr="002B2283">
        <w:rPr>
          <w:rFonts w:cs="Arial"/>
          <w:szCs w:val="22"/>
        </w:rPr>
        <w:t xml:space="preserve"> </w:t>
      </w:r>
      <w:r w:rsidR="00A05CCC" w:rsidRPr="002B2283">
        <w:rPr>
          <w:rFonts w:cs="Arial"/>
          <w:szCs w:val="22"/>
        </w:rPr>
        <w:t>Dále jsou uvedeny příklady nevyhovujících výrobků.</w:t>
      </w:r>
    </w:p>
    <w:p w:rsidR="00916A47" w:rsidRPr="002B2283" w:rsidRDefault="000021B4" w:rsidP="00A90BCD">
      <w:pPr>
        <w:pStyle w:val="Zkladntext"/>
        <w:spacing w:after="100"/>
        <w:rPr>
          <w:rFonts w:cs="Arial"/>
          <w:szCs w:val="22"/>
        </w:rPr>
      </w:pPr>
      <w:r w:rsidRPr="002B2283">
        <w:rPr>
          <w:rFonts w:cs="Arial"/>
          <w:szCs w:val="22"/>
        </w:rPr>
        <w:t>O nevyhovujících výrobcích byly informovány ostatní členské státy Evropské unie prostřednictvím systému RAPEX</w:t>
      </w:r>
      <w:r w:rsidR="004B52DC" w:rsidRPr="002B2283">
        <w:rPr>
          <w:rFonts w:cs="Arial"/>
          <w:szCs w:val="22"/>
        </w:rPr>
        <w:t xml:space="preserve">  (přehled notifikací je k dispozici na adrese - </w:t>
      </w:r>
      <w:hyperlink r:id="rId12" w:history="1">
        <w:r w:rsidR="004B52DC" w:rsidRPr="002B2283">
          <w:rPr>
            <w:rStyle w:val="Hypertextovodkaz"/>
            <w:rFonts w:cs="Arial"/>
            <w:szCs w:val="22"/>
          </w:rPr>
          <w:t>http://ec.europa.eu/consumers/consumers_safety/safety_products/rapex/alerts/main/?event=main.listNotifications</w:t>
        </w:r>
      </w:hyperlink>
      <w:r w:rsidR="004B52DC" w:rsidRPr="002B2283">
        <w:rPr>
          <w:rFonts w:cs="Arial"/>
          <w:szCs w:val="22"/>
        </w:rPr>
        <w:t>).</w:t>
      </w:r>
    </w:p>
    <w:p w:rsidR="00BE1E6A" w:rsidRPr="002B2283" w:rsidRDefault="000021B4" w:rsidP="00A90BCD">
      <w:pPr>
        <w:pStyle w:val="Zkladntext"/>
        <w:spacing w:after="100"/>
        <w:rPr>
          <w:rFonts w:cs="Arial"/>
          <w:szCs w:val="22"/>
        </w:rPr>
      </w:pPr>
      <w:r w:rsidRPr="002B2283">
        <w:rPr>
          <w:rFonts w:cs="Arial"/>
          <w:szCs w:val="22"/>
        </w:rPr>
        <w:t>I</w:t>
      </w:r>
      <w:r w:rsidR="00BE1E6A" w:rsidRPr="002B2283">
        <w:rPr>
          <w:rFonts w:cs="Arial"/>
          <w:szCs w:val="22"/>
        </w:rPr>
        <w:t>nform</w:t>
      </w:r>
      <w:r w:rsidR="00A651AF" w:rsidRPr="002B2283">
        <w:rPr>
          <w:rFonts w:cs="Arial"/>
          <w:szCs w:val="22"/>
        </w:rPr>
        <w:t>a</w:t>
      </w:r>
      <w:r w:rsidRPr="002B2283">
        <w:rPr>
          <w:rFonts w:cs="Arial"/>
          <w:szCs w:val="22"/>
        </w:rPr>
        <w:t xml:space="preserve">ce o zjištěných </w:t>
      </w:r>
      <w:r w:rsidR="00A05CCC" w:rsidRPr="002B2283">
        <w:rPr>
          <w:rFonts w:cs="Arial"/>
          <w:szCs w:val="22"/>
        </w:rPr>
        <w:t>nedostatcích</w:t>
      </w:r>
      <w:r w:rsidRPr="002B2283">
        <w:rPr>
          <w:rFonts w:cs="Arial"/>
          <w:szCs w:val="22"/>
        </w:rPr>
        <w:t xml:space="preserve"> byly předány dalším kompet</w:t>
      </w:r>
      <w:r w:rsidR="00BE1E6A" w:rsidRPr="002B2283">
        <w:rPr>
          <w:rFonts w:cs="Arial"/>
          <w:szCs w:val="22"/>
        </w:rPr>
        <w:t>e</w:t>
      </w:r>
      <w:r w:rsidRPr="002B2283">
        <w:rPr>
          <w:rFonts w:cs="Arial"/>
          <w:szCs w:val="22"/>
        </w:rPr>
        <w:t>ntním orgánů</w:t>
      </w:r>
      <w:r w:rsidR="00BE1E6A" w:rsidRPr="002B2283">
        <w:rPr>
          <w:rFonts w:cs="Arial"/>
          <w:szCs w:val="22"/>
        </w:rPr>
        <w:t>m stát</w:t>
      </w:r>
      <w:r w:rsidR="00916A47" w:rsidRPr="002B2283">
        <w:rPr>
          <w:rFonts w:cs="Arial"/>
          <w:szCs w:val="22"/>
        </w:rPr>
        <w:t>n</w:t>
      </w:r>
      <w:r w:rsidR="00BE1E6A" w:rsidRPr="002B2283">
        <w:rPr>
          <w:rFonts w:cs="Arial"/>
          <w:szCs w:val="22"/>
        </w:rPr>
        <w:t>í správy (orgánům celní správy, živn</w:t>
      </w:r>
      <w:r w:rsidRPr="002B2283">
        <w:rPr>
          <w:rFonts w:cs="Arial"/>
          <w:szCs w:val="22"/>
        </w:rPr>
        <w:t>o</w:t>
      </w:r>
      <w:r w:rsidR="00BE1E6A" w:rsidRPr="002B2283">
        <w:rPr>
          <w:rFonts w:cs="Arial"/>
          <w:szCs w:val="22"/>
        </w:rPr>
        <w:t>stenským úřadům)</w:t>
      </w:r>
      <w:r w:rsidRPr="002B2283">
        <w:rPr>
          <w:rFonts w:cs="Arial"/>
          <w:szCs w:val="22"/>
        </w:rPr>
        <w:t>, o použití neexistujících EAN kódech byl</w:t>
      </w:r>
      <w:r w:rsidR="00916A47" w:rsidRPr="002B2283">
        <w:rPr>
          <w:rFonts w:cs="Arial"/>
          <w:szCs w:val="22"/>
        </w:rPr>
        <w:t xml:space="preserve">o informováno sdružení GS1 Czech Republic (jediné autorizované pracoviště pro registraci do Systému GS1 na území ČR). </w:t>
      </w:r>
    </w:p>
    <w:p w:rsidR="0096142A" w:rsidRPr="002B2283" w:rsidRDefault="0096142A" w:rsidP="00524A78">
      <w:pPr>
        <w:spacing w:line="300" w:lineRule="exact"/>
        <w:jc w:val="both"/>
        <w:rPr>
          <w:rFonts w:ascii="Arial" w:hAnsi="Arial" w:cs="Arial"/>
          <w:noProof/>
          <w:sz w:val="22"/>
          <w:szCs w:val="22"/>
        </w:rPr>
      </w:pPr>
    </w:p>
    <w:p w:rsidR="00524A78" w:rsidRPr="002B2283" w:rsidRDefault="00524A78" w:rsidP="00524A78">
      <w:pPr>
        <w:spacing w:line="300" w:lineRule="exact"/>
        <w:jc w:val="both"/>
        <w:rPr>
          <w:rFonts w:ascii="Arial" w:hAnsi="Arial" w:cs="Arial"/>
          <w:noProof/>
          <w:sz w:val="22"/>
          <w:szCs w:val="22"/>
        </w:rPr>
      </w:pPr>
    </w:p>
    <w:p w:rsidR="005C5329" w:rsidRPr="002B2283" w:rsidRDefault="005C5329" w:rsidP="00A02165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A05CCC" w:rsidRPr="002B2283" w:rsidRDefault="00A05CCC" w:rsidP="00A02165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A05CCC" w:rsidRPr="002B2283" w:rsidRDefault="00A05CCC" w:rsidP="00A02165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A05CCC" w:rsidRPr="002B2283" w:rsidRDefault="00A05CCC" w:rsidP="00A02165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5766E5" w:rsidRPr="002B2283" w:rsidRDefault="005766E5" w:rsidP="00A02165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5766E5" w:rsidRPr="002B2283" w:rsidRDefault="005766E5" w:rsidP="00A02165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BE5C10" w:rsidRPr="002B2283" w:rsidRDefault="00BE5C10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5C5329" w:rsidRPr="002B2283" w:rsidRDefault="005C5329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A90BCD" w:rsidRPr="002B2283" w:rsidRDefault="00A90BCD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A90BCD" w:rsidRPr="002B2283" w:rsidRDefault="00A90BCD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A90BCD" w:rsidRPr="002B2283" w:rsidRDefault="00916A4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  <w:r w:rsidRPr="002B2283">
        <w:rPr>
          <w:rFonts w:ascii="Arial" w:hAnsi="Arial" w:cs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60288" behindDoc="0" locked="0" layoutInCell="1" allowOverlap="1" wp14:anchorId="10729482" wp14:editId="16B7FC5F">
            <wp:simplePos x="0" y="0"/>
            <wp:positionH relativeFrom="margin">
              <wp:posOffset>3800475</wp:posOffset>
            </wp:positionH>
            <wp:positionV relativeFrom="margin">
              <wp:posOffset>-641985</wp:posOffset>
            </wp:positionV>
            <wp:extent cx="2113280" cy="3157220"/>
            <wp:effectExtent l="0" t="0" r="1270" b="5080"/>
            <wp:wrapSquare wrapText="bothSides"/>
            <wp:docPr id="4" name="Obrázek 4" descr="O:\OVZ\HV\hračky a výrobky pro děti do 3 let\nebezpečné výrobky\Beautiful Star\Panenka Beautiful 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OVZ\HV\hračky a výrobky pro děti do 3 let\nebezpečné výrobky\Beautiful Star\Panenka Beautiful Sta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BCD" w:rsidRPr="002B2283" w:rsidRDefault="00A90BCD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BE1E6A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  <w:r w:rsidRPr="002B2283">
        <w:rPr>
          <w:rFonts w:ascii="Arial" w:hAnsi="Arial" w:cs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 wp14:anchorId="2B598462" wp14:editId="24385C19">
            <wp:simplePos x="0" y="0"/>
            <wp:positionH relativeFrom="margin">
              <wp:posOffset>-777240</wp:posOffset>
            </wp:positionH>
            <wp:positionV relativeFrom="margin">
              <wp:posOffset>-642620</wp:posOffset>
            </wp:positionV>
            <wp:extent cx="3818890" cy="2863850"/>
            <wp:effectExtent l="0" t="0" r="0" b="0"/>
            <wp:wrapSquare wrapText="bothSides"/>
            <wp:docPr id="3" name="Obrázek 3" descr="O:\OVZ\HV\hračky a výrobky pro děti do 3 let\nebezpečné výrobky\Beautiful girl\Panenka Beautiful girl - přední část krab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OVZ\HV\hračky a výrobky pro děti do 3 let\nebezpečné výrobky\Beautiful girl\Panenka Beautiful girl - přední část krabičk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916A4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  <w:r w:rsidRPr="002B2283">
        <w:rPr>
          <w:rFonts w:ascii="Arial" w:hAnsi="Arial" w:cs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61312" behindDoc="0" locked="0" layoutInCell="1" allowOverlap="1" wp14:anchorId="21320346" wp14:editId="16B46641">
            <wp:simplePos x="0" y="0"/>
            <wp:positionH relativeFrom="margin">
              <wp:posOffset>3800475</wp:posOffset>
            </wp:positionH>
            <wp:positionV relativeFrom="margin">
              <wp:posOffset>2842895</wp:posOffset>
            </wp:positionV>
            <wp:extent cx="2156460" cy="2723515"/>
            <wp:effectExtent l="0" t="0" r="0" b="635"/>
            <wp:wrapSquare wrapText="bothSides"/>
            <wp:docPr id="5" name="Obrázek 5" descr="O:\OVZ\HV\hračky a výrobky pro děti do 3 let\nebezpečné výrobky\Calleigh\DSCN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OVZ\HV\hračky a výrobky pro děti do 3 let\nebezpečné výrobky\Calleigh\DSCN085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  <w:r w:rsidRPr="002B2283">
        <w:rPr>
          <w:rFonts w:ascii="Arial" w:hAnsi="Arial" w:cs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63360" behindDoc="0" locked="0" layoutInCell="1" allowOverlap="1" wp14:anchorId="21C38C94" wp14:editId="65F4CFBF">
            <wp:simplePos x="0" y="0"/>
            <wp:positionH relativeFrom="margin">
              <wp:posOffset>-534837</wp:posOffset>
            </wp:positionH>
            <wp:positionV relativeFrom="margin">
              <wp:posOffset>2751167</wp:posOffset>
            </wp:positionV>
            <wp:extent cx="3580130" cy="2992755"/>
            <wp:effectExtent l="0" t="0" r="1270" b="0"/>
            <wp:wrapSquare wrapText="bothSides"/>
            <wp:docPr id="10" name="Obrázek 10" descr="O:\OVZ\HV\hračky a výrobky pro děti do 3 let\nebezpečné výrobky\Zvířátko nafukovací-želva\Želv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:\OVZ\HV\hračky a výrobky pro děti do 3 let\nebezpečné výrobky\Zvířátko nafukovací-želva\Želva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7" w:rsidRPr="002B2283" w:rsidRDefault="004B52DC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  <w:r w:rsidRPr="002B2283">
        <w:rPr>
          <w:rFonts w:ascii="Arial" w:hAnsi="Arial" w:cs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65408" behindDoc="0" locked="0" layoutInCell="1" allowOverlap="1" wp14:anchorId="7BD2C540" wp14:editId="5FE6138C">
            <wp:simplePos x="0" y="0"/>
            <wp:positionH relativeFrom="margin">
              <wp:posOffset>3602355</wp:posOffset>
            </wp:positionH>
            <wp:positionV relativeFrom="margin">
              <wp:posOffset>5896610</wp:posOffset>
            </wp:positionV>
            <wp:extent cx="2449830" cy="3001645"/>
            <wp:effectExtent l="0" t="0" r="7620" b="8255"/>
            <wp:wrapSquare wrapText="bothSides"/>
            <wp:docPr id="12" name="Obrázek 12" descr="O:\OVZ\HV\hračky a výrobky pro děti do 3 let\nebezpečné výrobky\Prestige Fashion Girl\Panenka ve vajíčku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:\OVZ\HV\hračky a výrobky pro děti do 3 let\nebezpečné výrobky\Prestige Fashion Girl\Panenka ve vajíčku 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30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A47" w:rsidRPr="002B2283">
        <w:rPr>
          <w:rFonts w:ascii="Arial" w:hAnsi="Arial" w:cs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64384" behindDoc="0" locked="0" layoutInCell="1" allowOverlap="1" wp14:anchorId="1888BFE6" wp14:editId="51368C75">
            <wp:simplePos x="0" y="0"/>
            <wp:positionH relativeFrom="margin">
              <wp:posOffset>-478155</wp:posOffset>
            </wp:positionH>
            <wp:positionV relativeFrom="margin">
              <wp:posOffset>5896610</wp:posOffset>
            </wp:positionV>
            <wp:extent cx="3519170" cy="2915285"/>
            <wp:effectExtent l="0" t="0" r="5080" b="0"/>
            <wp:wrapSquare wrapText="bothSides"/>
            <wp:docPr id="11" name="Obrázek 11" descr="O:\OVZ\HV\hračky a výrobky pro děti do 3 let\nebezpečné výrobky\Modern girls NO.0939\Modern Girls všech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:\OVZ\HV\hračky a výrobky pro děti do 3 let\nebezpečné výrobky\Modern girls NO.0939\Modern Girls všechn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29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031F7" w:rsidRPr="002B2283" w:rsidRDefault="00F031F7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bookmarkEnd w:id="0"/>
    <w:p w:rsidR="005C5329" w:rsidRPr="002B2283" w:rsidRDefault="005C5329" w:rsidP="00B1409B">
      <w:pPr>
        <w:spacing w:line="300" w:lineRule="exact"/>
        <w:rPr>
          <w:rFonts w:ascii="Arial" w:hAnsi="Arial" w:cs="Arial"/>
          <w:b/>
          <w:noProof/>
          <w:sz w:val="22"/>
          <w:szCs w:val="22"/>
          <w:u w:val="single"/>
        </w:rPr>
      </w:pPr>
    </w:p>
    <w:sectPr w:rsidR="005C5329" w:rsidRPr="002B2283" w:rsidSect="00B1409B"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7C" w:rsidRDefault="00450D7C" w:rsidP="00C7386C">
      <w:r>
        <w:separator/>
      </w:r>
    </w:p>
  </w:endnote>
  <w:endnote w:type="continuationSeparator" w:id="0">
    <w:p w:rsidR="00450D7C" w:rsidRDefault="00450D7C" w:rsidP="00C7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151566"/>
      <w:docPartObj>
        <w:docPartGallery w:val="Page Numbers (Bottom of Page)"/>
        <w:docPartUnique/>
      </w:docPartObj>
    </w:sdtPr>
    <w:sdtEndPr/>
    <w:sdtContent>
      <w:p w:rsidR="00450D7C" w:rsidRDefault="00450D7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8FA">
          <w:rPr>
            <w:noProof/>
          </w:rPr>
          <w:t>3</w:t>
        </w:r>
        <w:r>
          <w:fldChar w:fldCharType="end"/>
        </w:r>
      </w:p>
    </w:sdtContent>
  </w:sdt>
  <w:p w:rsidR="00450D7C" w:rsidRDefault="00450D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7C" w:rsidRDefault="00450D7C" w:rsidP="00C7386C">
      <w:r>
        <w:separator/>
      </w:r>
    </w:p>
  </w:footnote>
  <w:footnote w:type="continuationSeparator" w:id="0">
    <w:p w:rsidR="00450D7C" w:rsidRDefault="00450D7C" w:rsidP="00C7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D81"/>
    <w:multiLevelType w:val="hybridMultilevel"/>
    <w:tmpl w:val="8994888C"/>
    <w:lvl w:ilvl="0" w:tplc="59BC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C2FFB"/>
    <w:multiLevelType w:val="hybridMultilevel"/>
    <w:tmpl w:val="DC2878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370AE"/>
    <w:multiLevelType w:val="hybridMultilevel"/>
    <w:tmpl w:val="935006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95925"/>
    <w:multiLevelType w:val="hybridMultilevel"/>
    <w:tmpl w:val="2ED4E8E0"/>
    <w:lvl w:ilvl="0" w:tplc="95D0E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84F4B"/>
    <w:multiLevelType w:val="hybridMultilevel"/>
    <w:tmpl w:val="1CB46B20"/>
    <w:lvl w:ilvl="0" w:tplc="BBA07DA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BD70C1"/>
    <w:multiLevelType w:val="hybridMultilevel"/>
    <w:tmpl w:val="BE9AD01C"/>
    <w:lvl w:ilvl="0" w:tplc="95D0E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7D1743"/>
    <w:multiLevelType w:val="hybridMultilevel"/>
    <w:tmpl w:val="8796E8E2"/>
    <w:lvl w:ilvl="0" w:tplc="FA982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E1C99"/>
    <w:multiLevelType w:val="hybridMultilevel"/>
    <w:tmpl w:val="7DF6AA3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A141E8"/>
    <w:multiLevelType w:val="hybridMultilevel"/>
    <w:tmpl w:val="37E490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DF05D6"/>
    <w:multiLevelType w:val="singleLevel"/>
    <w:tmpl w:val="C202472A"/>
    <w:lvl w:ilvl="0">
      <w:start w:val="1"/>
      <w:numFmt w:val="none"/>
      <w:pStyle w:val="vc8"/>
      <w:lvlText w:val="Věc: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</w:abstractNum>
  <w:abstractNum w:abstractNumId="10">
    <w:nsid w:val="532210F4"/>
    <w:multiLevelType w:val="hybridMultilevel"/>
    <w:tmpl w:val="6CE06B28"/>
    <w:lvl w:ilvl="0" w:tplc="5630D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818DB"/>
    <w:multiLevelType w:val="multilevel"/>
    <w:tmpl w:val="7304FD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3AD3695"/>
    <w:multiLevelType w:val="hybridMultilevel"/>
    <w:tmpl w:val="028E6BF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84929"/>
    <w:multiLevelType w:val="hybridMultilevel"/>
    <w:tmpl w:val="FBACB944"/>
    <w:lvl w:ilvl="0" w:tplc="CB74D2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6812EE3"/>
    <w:multiLevelType w:val="hybridMultilevel"/>
    <w:tmpl w:val="F814E1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C3371"/>
    <w:multiLevelType w:val="hybridMultilevel"/>
    <w:tmpl w:val="4D3A0EFA"/>
    <w:lvl w:ilvl="0" w:tplc="610090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9A649E"/>
    <w:multiLevelType w:val="hybridMultilevel"/>
    <w:tmpl w:val="38E8939C"/>
    <w:lvl w:ilvl="0" w:tplc="AB36DF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236B98"/>
    <w:multiLevelType w:val="hybridMultilevel"/>
    <w:tmpl w:val="C8747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A2A59"/>
    <w:multiLevelType w:val="hybridMultilevel"/>
    <w:tmpl w:val="A2144030"/>
    <w:lvl w:ilvl="0" w:tplc="16F044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395D72"/>
    <w:multiLevelType w:val="hybridMultilevel"/>
    <w:tmpl w:val="50B21DDC"/>
    <w:lvl w:ilvl="0" w:tplc="2DA21D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074322"/>
    <w:multiLevelType w:val="hybridMultilevel"/>
    <w:tmpl w:val="90FA3B22"/>
    <w:lvl w:ilvl="0" w:tplc="D74AC7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7"/>
  </w:num>
  <w:num w:numId="8">
    <w:abstractNumId w:val="12"/>
  </w:num>
  <w:num w:numId="9">
    <w:abstractNumId w:val="13"/>
  </w:num>
  <w:num w:numId="10">
    <w:abstractNumId w:val="15"/>
  </w:num>
  <w:num w:numId="11">
    <w:abstractNumId w:val="10"/>
  </w:num>
  <w:num w:numId="12">
    <w:abstractNumId w:val="2"/>
  </w:num>
  <w:num w:numId="13">
    <w:abstractNumId w:val="15"/>
  </w:num>
  <w:num w:numId="14">
    <w:abstractNumId w:val="16"/>
  </w:num>
  <w:num w:numId="15">
    <w:abstractNumId w:val="18"/>
  </w:num>
  <w:num w:numId="16">
    <w:abstractNumId w:val="20"/>
  </w:num>
  <w:num w:numId="17">
    <w:abstractNumId w:val="0"/>
  </w:num>
  <w:num w:numId="18">
    <w:abstractNumId w:val="4"/>
  </w:num>
  <w:num w:numId="19">
    <w:abstractNumId w:val="6"/>
  </w:num>
  <w:num w:numId="20">
    <w:abstractNumId w:val="14"/>
  </w:num>
  <w:num w:numId="21">
    <w:abstractNumId w:val="5"/>
  </w:num>
  <w:num w:numId="22">
    <w:abstractNumId w:val="9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32"/>
    <w:rsid w:val="000021B4"/>
    <w:rsid w:val="0000729A"/>
    <w:rsid w:val="00023FC0"/>
    <w:rsid w:val="00072368"/>
    <w:rsid w:val="000F4D61"/>
    <w:rsid w:val="001030B4"/>
    <w:rsid w:val="00112580"/>
    <w:rsid w:val="00137B2E"/>
    <w:rsid w:val="00144CFF"/>
    <w:rsid w:val="00183E50"/>
    <w:rsid w:val="001D14B7"/>
    <w:rsid w:val="001E60D7"/>
    <w:rsid w:val="00231CFF"/>
    <w:rsid w:val="00241A20"/>
    <w:rsid w:val="00261CA7"/>
    <w:rsid w:val="002717E1"/>
    <w:rsid w:val="00286485"/>
    <w:rsid w:val="002B2283"/>
    <w:rsid w:val="002B7777"/>
    <w:rsid w:val="002F3FBA"/>
    <w:rsid w:val="003020EA"/>
    <w:rsid w:val="00316CA3"/>
    <w:rsid w:val="00320A25"/>
    <w:rsid w:val="00321743"/>
    <w:rsid w:val="00330B87"/>
    <w:rsid w:val="00331E1C"/>
    <w:rsid w:val="0034741D"/>
    <w:rsid w:val="003744EA"/>
    <w:rsid w:val="003843AE"/>
    <w:rsid w:val="003A6D47"/>
    <w:rsid w:val="003B326E"/>
    <w:rsid w:val="003B4FA3"/>
    <w:rsid w:val="003D7CDE"/>
    <w:rsid w:val="004012E1"/>
    <w:rsid w:val="00401FEA"/>
    <w:rsid w:val="004168FA"/>
    <w:rsid w:val="00450D7C"/>
    <w:rsid w:val="00451E5F"/>
    <w:rsid w:val="004A4876"/>
    <w:rsid w:val="004B1E25"/>
    <w:rsid w:val="004B52DC"/>
    <w:rsid w:val="004B5FDA"/>
    <w:rsid w:val="004B6BB7"/>
    <w:rsid w:val="004F0E21"/>
    <w:rsid w:val="00521636"/>
    <w:rsid w:val="00524A78"/>
    <w:rsid w:val="00546557"/>
    <w:rsid w:val="0055509C"/>
    <w:rsid w:val="0056714C"/>
    <w:rsid w:val="00567F7C"/>
    <w:rsid w:val="005742C6"/>
    <w:rsid w:val="005750E0"/>
    <w:rsid w:val="005766E5"/>
    <w:rsid w:val="005771EE"/>
    <w:rsid w:val="00580432"/>
    <w:rsid w:val="00583FD1"/>
    <w:rsid w:val="005C5329"/>
    <w:rsid w:val="005D1933"/>
    <w:rsid w:val="005D5D08"/>
    <w:rsid w:val="005F331E"/>
    <w:rsid w:val="00623BBA"/>
    <w:rsid w:val="006559F9"/>
    <w:rsid w:val="006616BE"/>
    <w:rsid w:val="006A4742"/>
    <w:rsid w:val="006B0D1E"/>
    <w:rsid w:val="006B3861"/>
    <w:rsid w:val="006C1AE6"/>
    <w:rsid w:val="006C458F"/>
    <w:rsid w:val="006C6608"/>
    <w:rsid w:val="006F1339"/>
    <w:rsid w:val="006F431C"/>
    <w:rsid w:val="006F4F1B"/>
    <w:rsid w:val="0070315D"/>
    <w:rsid w:val="00711837"/>
    <w:rsid w:val="0071484D"/>
    <w:rsid w:val="00726015"/>
    <w:rsid w:val="0073094C"/>
    <w:rsid w:val="00732770"/>
    <w:rsid w:val="00760052"/>
    <w:rsid w:val="00794603"/>
    <w:rsid w:val="007A41C6"/>
    <w:rsid w:val="007D44B3"/>
    <w:rsid w:val="007F5A08"/>
    <w:rsid w:val="00802219"/>
    <w:rsid w:val="008150BE"/>
    <w:rsid w:val="008212B1"/>
    <w:rsid w:val="00876665"/>
    <w:rsid w:val="008960CE"/>
    <w:rsid w:val="008C4063"/>
    <w:rsid w:val="00903387"/>
    <w:rsid w:val="00910029"/>
    <w:rsid w:val="00916A47"/>
    <w:rsid w:val="009214AD"/>
    <w:rsid w:val="009274D6"/>
    <w:rsid w:val="00940D90"/>
    <w:rsid w:val="00941BBD"/>
    <w:rsid w:val="0096142A"/>
    <w:rsid w:val="009741AC"/>
    <w:rsid w:val="009802E5"/>
    <w:rsid w:val="00991A26"/>
    <w:rsid w:val="009B661C"/>
    <w:rsid w:val="009F070F"/>
    <w:rsid w:val="009F78DD"/>
    <w:rsid w:val="00A02165"/>
    <w:rsid w:val="00A05CCC"/>
    <w:rsid w:val="00A11897"/>
    <w:rsid w:val="00A4720C"/>
    <w:rsid w:val="00A53033"/>
    <w:rsid w:val="00A54B4D"/>
    <w:rsid w:val="00A651AF"/>
    <w:rsid w:val="00A67B68"/>
    <w:rsid w:val="00A73D27"/>
    <w:rsid w:val="00A90BCD"/>
    <w:rsid w:val="00AE51E1"/>
    <w:rsid w:val="00B1409B"/>
    <w:rsid w:val="00B223F0"/>
    <w:rsid w:val="00B31117"/>
    <w:rsid w:val="00B64ABF"/>
    <w:rsid w:val="00B679A8"/>
    <w:rsid w:val="00B875B5"/>
    <w:rsid w:val="00BB0A02"/>
    <w:rsid w:val="00BE1E6A"/>
    <w:rsid w:val="00BE5C10"/>
    <w:rsid w:val="00BF5E63"/>
    <w:rsid w:val="00C24929"/>
    <w:rsid w:val="00C32C2C"/>
    <w:rsid w:val="00C41E99"/>
    <w:rsid w:val="00C61AEE"/>
    <w:rsid w:val="00C7386C"/>
    <w:rsid w:val="00C92C75"/>
    <w:rsid w:val="00CB3155"/>
    <w:rsid w:val="00CC2041"/>
    <w:rsid w:val="00CF362B"/>
    <w:rsid w:val="00CF5B71"/>
    <w:rsid w:val="00D00F0E"/>
    <w:rsid w:val="00D05D76"/>
    <w:rsid w:val="00D34807"/>
    <w:rsid w:val="00D35A8D"/>
    <w:rsid w:val="00D815FB"/>
    <w:rsid w:val="00D903ED"/>
    <w:rsid w:val="00DA6D89"/>
    <w:rsid w:val="00DB7C05"/>
    <w:rsid w:val="00E85F51"/>
    <w:rsid w:val="00EB167E"/>
    <w:rsid w:val="00EC02BB"/>
    <w:rsid w:val="00EC1BF9"/>
    <w:rsid w:val="00EE4BD3"/>
    <w:rsid w:val="00F00694"/>
    <w:rsid w:val="00F024EE"/>
    <w:rsid w:val="00F02D44"/>
    <w:rsid w:val="00F031F7"/>
    <w:rsid w:val="00F13EEE"/>
    <w:rsid w:val="00F22863"/>
    <w:rsid w:val="00F46192"/>
    <w:rsid w:val="00F7490B"/>
    <w:rsid w:val="00FA46C1"/>
    <w:rsid w:val="00FC7A5A"/>
    <w:rsid w:val="00FD3AF6"/>
    <w:rsid w:val="00F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unhideWhenUsed/>
    <w:qFormat/>
    <w:rsid w:val="00580432"/>
    <w:pPr>
      <w:keepNext/>
      <w:jc w:val="center"/>
      <w:outlineLvl w:val="6"/>
    </w:pPr>
    <w:rPr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580432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80432"/>
    <w:rPr>
      <w:sz w:val="24"/>
    </w:rPr>
  </w:style>
  <w:style w:type="paragraph" w:customStyle="1" w:styleId="Default">
    <w:name w:val="Default"/>
    <w:rsid w:val="005804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0432"/>
    <w:pPr>
      <w:ind w:left="720"/>
      <w:contextualSpacing/>
    </w:pPr>
  </w:style>
  <w:style w:type="table" w:styleId="Svtlseznamzvraznn5">
    <w:name w:val="Light List Accent 5"/>
    <w:basedOn w:val="Normlntabulka"/>
    <w:uiPriority w:val="61"/>
    <w:rsid w:val="0058043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tyl1">
    <w:name w:val="Styl1"/>
    <w:basedOn w:val="Normln"/>
    <w:rsid w:val="00580432"/>
    <w:pPr>
      <w:jc w:val="both"/>
    </w:pPr>
    <w:rPr>
      <w:szCs w:val="20"/>
    </w:rPr>
  </w:style>
  <w:style w:type="paragraph" w:styleId="Bezmezer">
    <w:name w:val="No Spacing"/>
    <w:uiPriority w:val="1"/>
    <w:qFormat/>
    <w:rsid w:val="00580432"/>
    <w:rPr>
      <w:rFonts w:ascii="Calibri" w:eastAsia="Calibri" w:hAnsi="Calibri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580432"/>
    <w:rPr>
      <w:iCs/>
      <w:sz w:val="24"/>
      <w:szCs w:val="24"/>
    </w:rPr>
  </w:style>
  <w:style w:type="paragraph" w:customStyle="1" w:styleId="Import6">
    <w:name w:val="Import 6"/>
    <w:basedOn w:val="Normln"/>
    <w:rsid w:val="009214AD"/>
    <w:pPr>
      <w:widowControl w:val="0"/>
      <w:tabs>
        <w:tab w:val="bar" w:pos="0"/>
        <w:tab w:val="bar" w:pos="163"/>
        <w:tab w:val="decimal" w:pos="28628"/>
      </w:tabs>
      <w:ind w:left="576"/>
    </w:pPr>
    <w:rPr>
      <w:rFonts w:ascii="Courier New" w:hAnsi="Courier New" w:cs="Courier New"/>
      <w:noProof/>
      <w:color w:val="000000"/>
    </w:rPr>
  </w:style>
  <w:style w:type="paragraph" w:customStyle="1" w:styleId="Odstavec-edndopis">
    <w:name w:val="Odstavec - úřední dopis"/>
    <w:basedOn w:val="Normln"/>
    <w:rsid w:val="009214AD"/>
    <w:pPr>
      <w:spacing w:before="120"/>
      <w:jc w:val="both"/>
    </w:pPr>
    <w:rPr>
      <w:bCs/>
      <w:szCs w:val="20"/>
    </w:rPr>
  </w:style>
  <w:style w:type="character" w:styleId="Hypertextovodkaz">
    <w:name w:val="Hyperlink"/>
    <w:rsid w:val="00C7386C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C7386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7386C"/>
  </w:style>
  <w:style w:type="character" w:styleId="Znakapoznpodarou">
    <w:name w:val="footnote reference"/>
    <w:rsid w:val="00C7386C"/>
    <w:rPr>
      <w:vertAlign w:val="superscript"/>
    </w:rPr>
  </w:style>
  <w:style w:type="paragraph" w:styleId="Textbubliny">
    <w:name w:val="Balloon Text"/>
    <w:basedOn w:val="Normln"/>
    <w:link w:val="TextbublinyChar"/>
    <w:rsid w:val="00C73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38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E5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FD3A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D3AF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D3A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AF6"/>
    <w:rPr>
      <w:sz w:val="24"/>
      <w:szCs w:val="24"/>
    </w:rPr>
  </w:style>
  <w:style w:type="paragraph" w:styleId="Normlnweb">
    <w:name w:val="Normal (Web)"/>
    <w:basedOn w:val="Normln"/>
    <w:uiPriority w:val="99"/>
    <w:rsid w:val="0073094C"/>
  </w:style>
  <w:style w:type="paragraph" w:styleId="Zkladntextodsazen2">
    <w:name w:val="Body Text Indent 2"/>
    <w:basedOn w:val="Normln"/>
    <w:link w:val="Zkladntextodsazen2Char"/>
    <w:rsid w:val="0073094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73094C"/>
    <w:rPr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3094C"/>
    <w:rPr>
      <w:color w:val="auto"/>
    </w:rPr>
  </w:style>
  <w:style w:type="character" w:styleId="Zvraznn">
    <w:name w:val="Emphasis"/>
    <w:uiPriority w:val="20"/>
    <w:qFormat/>
    <w:rsid w:val="0073094C"/>
    <w:rPr>
      <w:b/>
      <w:bCs/>
      <w:i w:val="0"/>
      <w:iCs w:val="0"/>
    </w:rPr>
  </w:style>
  <w:style w:type="table" w:styleId="Stednstnovn1zvraznn4">
    <w:name w:val="Medium Shading 1 Accent 4"/>
    <w:basedOn w:val="Normlntabulka"/>
    <w:uiPriority w:val="63"/>
    <w:rsid w:val="005D5D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vc8">
    <w:name w:val="věc 8"/>
    <w:basedOn w:val="Normln"/>
    <w:rsid w:val="00450D7C"/>
    <w:pPr>
      <w:numPr>
        <w:numId w:val="22"/>
      </w:numPr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450D7C"/>
    <w:pPr>
      <w:spacing w:after="120" w:line="300" w:lineRule="exact"/>
      <w:jc w:val="both"/>
    </w:pPr>
    <w:rPr>
      <w:rFonts w:ascii="Arial" w:hAnsi="Arial"/>
      <w:noProof/>
      <w:color w:val="000000"/>
      <w:sz w:val="22"/>
    </w:rPr>
  </w:style>
  <w:style w:type="character" w:customStyle="1" w:styleId="ZkladntextChar">
    <w:name w:val="Základní text Char"/>
    <w:basedOn w:val="Standardnpsmoodstavce"/>
    <w:link w:val="Zkladntext"/>
    <w:rsid w:val="00450D7C"/>
    <w:rPr>
      <w:rFonts w:ascii="Arial" w:hAnsi="Arial"/>
      <w:noProof/>
      <w:color w:val="000000"/>
      <w:sz w:val="22"/>
      <w:szCs w:val="24"/>
    </w:rPr>
  </w:style>
  <w:style w:type="table" w:styleId="Stednseznam1zvraznn1">
    <w:name w:val="Medium List 1 Accent 1"/>
    <w:basedOn w:val="Normlntabulka"/>
    <w:uiPriority w:val="65"/>
    <w:rsid w:val="000021B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unhideWhenUsed/>
    <w:qFormat/>
    <w:rsid w:val="00580432"/>
    <w:pPr>
      <w:keepNext/>
      <w:jc w:val="center"/>
      <w:outlineLvl w:val="6"/>
    </w:pPr>
    <w:rPr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580432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80432"/>
    <w:rPr>
      <w:sz w:val="24"/>
    </w:rPr>
  </w:style>
  <w:style w:type="paragraph" w:customStyle="1" w:styleId="Default">
    <w:name w:val="Default"/>
    <w:rsid w:val="005804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0432"/>
    <w:pPr>
      <w:ind w:left="720"/>
      <w:contextualSpacing/>
    </w:pPr>
  </w:style>
  <w:style w:type="table" w:styleId="Svtlseznamzvraznn5">
    <w:name w:val="Light List Accent 5"/>
    <w:basedOn w:val="Normlntabulka"/>
    <w:uiPriority w:val="61"/>
    <w:rsid w:val="0058043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tyl1">
    <w:name w:val="Styl1"/>
    <w:basedOn w:val="Normln"/>
    <w:rsid w:val="00580432"/>
    <w:pPr>
      <w:jc w:val="both"/>
    </w:pPr>
    <w:rPr>
      <w:szCs w:val="20"/>
    </w:rPr>
  </w:style>
  <w:style w:type="paragraph" w:styleId="Bezmezer">
    <w:name w:val="No Spacing"/>
    <w:uiPriority w:val="1"/>
    <w:qFormat/>
    <w:rsid w:val="00580432"/>
    <w:rPr>
      <w:rFonts w:ascii="Calibri" w:eastAsia="Calibri" w:hAnsi="Calibri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580432"/>
    <w:rPr>
      <w:iCs/>
      <w:sz w:val="24"/>
      <w:szCs w:val="24"/>
    </w:rPr>
  </w:style>
  <w:style w:type="paragraph" w:customStyle="1" w:styleId="Import6">
    <w:name w:val="Import 6"/>
    <w:basedOn w:val="Normln"/>
    <w:rsid w:val="009214AD"/>
    <w:pPr>
      <w:widowControl w:val="0"/>
      <w:tabs>
        <w:tab w:val="bar" w:pos="0"/>
        <w:tab w:val="bar" w:pos="163"/>
        <w:tab w:val="decimal" w:pos="28628"/>
      </w:tabs>
      <w:ind w:left="576"/>
    </w:pPr>
    <w:rPr>
      <w:rFonts w:ascii="Courier New" w:hAnsi="Courier New" w:cs="Courier New"/>
      <w:noProof/>
      <w:color w:val="000000"/>
    </w:rPr>
  </w:style>
  <w:style w:type="paragraph" w:customStyle="1" w:styleId="Odstavec-edndopis">
    <w:name w:val="Odstavec - úřední dopis"/>
    <w:basedOn w:val="Normln"/>
    <w:rsid w:val="009214AD"/>
    <w:pPr>
      <w:spacing w:before="120"/>
      <w:jc w:val="both"/>
    </w:pPr>
    <w:rPr>
      <w:bCs/>
      <w:szCs w:val="20"/>
    </w:rPr>
  </w:style>
  <w:style w:type="character" w:styleId="Hypertextovodkaz">
    <w:name w:val="Hyperlink"/>
    <w:rsid w:val="00C7386C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C7386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7386C"/>
  </w:style>
  <w:style w:type="character" w:styleId="Znakapoznpodarou">
    <w:name w:val="footnote reference"/>
    <w:rsid w:val="00C7386C"/>
    <w:rPr>
      <w:vertAlign w:val="superscript"/>
    </w:rPr>
  </w:style>
  <w:style w:type="paragraph" w:styleId="Textbubliny">
    <w:name w:val="Balloon Text"/>
    <w:basedOn w:val="Normln"/>
    <w:link w:val="TextbublinyChar"/>
    <w:rsid w:val="00C73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38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E5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FD3A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D3AF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D3A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AF6"/>
    <w:rPr>
      <w:sz w:val="24"/>
      <w:szCs w:val="24"/>
    </w:rPr>
  </w:style>
  <w:style w:type="paragraph" w:styleId="Normlnweb">
    <w:name w:val="Normal (Web)"/>
    <w:basedOn w:val="Normln"/>
    <w:uiPriority w:val="99"/>
    <w:rsid w:val="0073094C"/>
  </w:style>
  <w:style w:type="paragraph" w:styleId="Zkladntextodsazen2">
    <w:name w:val="Body Text Indent 2"/>
    <w:basedOn w:val="Normln"/>
    <w:link w:val="Zkladntextodsazen2Char"/>
    <w:rsid w:val="0073094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73094C"/>
    <w:rPr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3094C"/>
    <w:rPr>
      <w:color w:val="auto"/>
    </w:rPr>
  </w:style>
  <w:style w:type="character" w:styleId="Zvraznn">
    <w:name w:val="Emphasis"/>
    <w:uiPriority w:val="20"/>
    <w:qFormat/>
    <w:rsid w:val="0073094C"/>
    <w:rPr>
      <w:b/>
      <w:bCs/>
      <w:i w:val="0"/>
      <w:iCs w:val="0"/>
    </w:rPr>
  </w:style>
  <w:style w:type="table" w:styleId="Stednstnovn1zvraznn4">
    <w:name w:val="Medium Shading 1 Accent 4"/>
    <w:basedOn w:val="Normlntabulka"/>
    <w:uiPriority w:val="63"/>
    <w:rsid w:val="005D5D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vc8">
    <w:name w:val="věc 8"/>
    <w:basedOn w:val="Normln"/>
    <w:rsid w:val="00450D7C"/>
    <w:pPr>
      <w:numPr>
        <w:numId w:val="22"/>
      </w:numPr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450D7C"/>
    <w:pPr>
      <w:spacing w:after="120" w:line="300" w:lineRule="exact"/>
      <w:jc w:val="both"/>
    </w:pPr>
    <w:rPr>
      <w:rFonts w:ascii="Arial" w:hAnsi="Arial"/>
      <w:noProof/>
      <w:color w:val="000000"/>
      <w:sz w:val="22"/>
    </w:rPr>
  </w:style>
  <w:style w:type="character" w:customStyle="1" w:styleId="ZkladntextChar">
    <w:name w:val="Základní text Char"/>
    <w:basedOn w:val="Standardnpsmoodstavce"/>
    <w:link w:val="Zkladntext"/>
    <w:rsid w:val="00450D7C"/>
    <w:rPr>
      <w:rFonts w:ascii="Arial" w:hAnsi="Arial"/>
      <w:noProof/>
      <w:color w:val="000000"/>
      <w:sz w:val="22"/>
      <w:szCs w:val="24"/>
    </w:rPr>
  </w:style>
  <w:style w:type="table" w:styleId="Stednseznam1zvraznn1">
    <w:name w:val="Medium List 1 Accent 1"/>
    <w:basedOn w:val="Normlntabulka"/>
    <w:uiPriority w:val="65"/>
    <w:rsid w:val="000021B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c.europa.eu/consumers/consumers_safety/safety_products/rapex/alerts/main/?event=main.listNotifications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cr.cz/obsah/nebezpecne-vyrobky_880_1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ec.europa.eu/consumers/consumers_safety/safety_products/rapex/index_en.ht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86A2-8DE8-48EA-9D18-BA942555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1006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Přibylová Eva Ing.</dc:creator>
  <cp:lastModifiedBy>Přibylová Eva Ing.</cp:lastModifiedBy>
  <cp:revision>3</cp:revision>
  <cp:lastPrinted>2016-12-20T07:29:00Z</cp:lastPrinted>
  <dcterms:created xsi:type="dcterms:W3CDTF">2016-12-20T07:29:00Z</dcterms:created>
  <dcterms:modified xsi:type="dcterms:W3CDTF">2016-12-20T07:29:00Z</dcterms:modified>
</cp:coreProperties>
</file>