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76" w:rsidRPr="000A2AB3" w:rsidRDefault="00FC4676" w:rsidP="00FC4676">
      <w:pPr>
        <w:spacing w:line="288" w:lineRule="auto"/>
        <w:jc w:val="center"/>
        <w:rPr>
          <w:rFonts w:cs="Arial"/>
          <w:b/>
          <w:sz w:val="32"/>
          <w:szCs w:val="32"/>
        </w:rPr>
      </w:pPr>
    </w:p>
    <w:p w:rsidR="00790777" w:rsidRPr="000A2AB3" w:rsidRDefault="00790777" w:rsidP="00FC4676">
      <w:pPr>
        <w:spacing w:line="288" w:lineRule="auto"/>
        <w:jc w:val="center"/>
        <w:rPr>
          <w:rFonts w:cs="Arial"/>
          <w:b/>
          <w:sz w:val="32"/>
          <w:szCs w:val="32"/>
        </w:rPr>
      </w:pPr>
    </w:p>
    <w:p w:rsidR="00FC4676" w:rsidRPr="000A2AB3" w:rsidRDefault="00FC4676" w:rsidP="00FC4676">
      <w:pPr>
        <w:spacing w:line="288" w:lineRule="auto"/>
        <w:jc w:val="center"/>
        <w:rPr>
          <w:rFonts w:cs="Arial"/>
          <w:b/>
          <w:sz w:val="32"/>
          <w:szCs w:val="32"/>
        </w:rPr>
      </w:pPr>
    </w:p>
    <w:p w:rsidR="00FC4676" w:rsidRPr="000A2AB3" w:rsidRDefault="00FC4676" w:rsidP="00FC4676">
      <w:pPr>
        <w:spacing w:line="288" w:lineRule="auto"/>
        <w:jc w:val="center"/>
        <w:rPr>
          <w:rFonts w:cs="Arial"/>
          <w:b/>
          <w:sz w:val="32"/>
          <w:szCs w:val="32"/>
        </w:rPr>
      </w:pPr>
    </w:p>
    <w:p w:rsidR="00FC4676" w:rsidRPr="000A2AB3" w:rsidRDefault="00FC4676" w:rsidP="00FC4676">
      <w:pPr>
        <w:tabs>
          <w:tab w:val="left" w:pos="3429"/>
          <w:tab w:val="center" w:pos="4536"/>
        </w:tabs>
        <w:spacing w:line="288" w:lineRule="auto"/>
        <w:jc w:val="left"/>
        <w:rPr>
          <w:rFonts w:cs="Arial"/>
          <w:b/>
          <w:sz w:val="32"/>
          <w:szCs w:val="32"/>
        </w:rPr>
      </w:pPr>
      <w:r w:rsidRPr="000A2AB3">
        <w:rPr>
          <w:rFonts w:cs="Arial"/>
          <w:b/>
          <w:sz w:val="32"/>
          <w:szCs w:val="32"/>
        </w:rPr>
        <w:tab/>
      </w:r>
    </w:p>
    <w:p w:rsidR="00FC4676" w:rsidRPr="000A2AB3" w:rsidRDefault="00FC4676" w:rsidP="00FC4676">
      <w:pPr>
        <w:tabs>
          <w:tab w:val="left" w:pos="3429"/>
          <w:tab w:val="center" w:pos="4536"/>
        </w:tabs>
        <w:spacing w:line="288" w:lineRule="auto"/>
        <w:jc w:val="left"/>
        <w:rPr>
          <w:rFonts w:cs="Arial"/>
          <w:b/>
          <w:sz w:val="32"/>
          <w:szCs w:val="32"/>
        </w:rPr>
      </w:pPr>
      <w:r w:rsidRPr="000A2AB3">
        <w:rPr>
          <w:rFonts w:cs="Arial"/>
          <w:b/>
          <w:sz w:val="32"/>
          <w:szCs w:val="32"/>
        </w:rPr>
        <w:tab/>
      </w:r>
      <w:r w:rsidRPr="000A2AB3">
        <w:rPr>
          <w:b/>
          <w:bCs/>
          <w:noProof/>
          <w:sz w:val="28"/>
          <w:szCs w:val="28"/>
        </w:rPr>
        <w:drawing>
          <wp:anchor distT="0" distB="0" distL="114300" distR="114300" simplePos="0" relativeHeight="251659264" behindDoc="0" locked="0" layoutInCell="1" allowOverlap="1" wp14:anchorId="49CF4EBE" wp14:editId="310CAC9C">
            <wp:simplePos x="0" y="0"/>
            <wp:positionH relativeFrom="page">
              <wp:posOffset>721995</wp:posOffset>
            </wp:positionH>
            <wp:positionV relativeFrom="page">
              <wp:posOffset>1030605</wp:posOffset>
            </wp:positionV>
            <wp:extent cx="3190240" cy="285750"/>
            <wp:effectExtent l="0" t="0" r="0" b="0"/>
            <wp:wrapNone/>
            <wp:docPr id="1" name="Obrázek 1" descr="logo_mz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mzcr"/>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AB3">
        <w:rPr>
          <w:rFonts w:cs="Arial"/>
          <w:b/>
          <w:sz w:val="32"/>
          <w:szCs w:val="32"/>
        </w:rPr>
        <w:t>Z P R Á V A</w:t>
      </w:r>
    </w:p>
    <w:p w:rsidR="00FC4676" w:rsidRPr="000A2AB3" w:rsidRDefault="00FC4676" w:rsidP="00FC4676">
      <w:pPr>
        <w:spacing w:before="140" w:line="260" w:lineRule="exact"/>
        <w:rPr>
          <w:sz w:val="28"/>
          <w:szCs w:val="28"/>
        </w:rPr>
      </w:pPr>
      <w:r w:rsidRPr="000A2AB3">
        <w:rPr>
          <w:rFonts w:cs="Arial"/>
          <w:sz w:val="28"/>
          <w:szCs w:val="28"/>
        </w:rPr>
        <w:t xml:space="preserve">o výsledcích cíleného úkolu zaměřeného na </w:t>
      </w:r>
      <w:r w:rsidRPr="000A2AB3">
        <w:rPr>
          <w:sz w:val="28"/>
          <w:szCs w:val="28"/>
        </w:rPr>
        <w:t xml:space="preserve">zmonitorování rozsahu nabídky a pestrosti pokrmů ve stravovacích službách v zařízeních sociálních služeb (celodenní stravování seniorů) a zdravotnických zařízeních. </w:t>
      </w:r>
    </w:p>
    <w:p w:rsidR="00FC4676" w:rsidRPr="000A2AB3" w:rsidRDefault="00FC4676" w:rsidP="00694BED">
      <w:pPr>
        <w:pStyle w:val="Nadpis7"/>
        <w:spacing w:line="260" w:lineRule="exact"/>
        <w:jc w:val="both"/>
        <w:rPr>
          <w:rFonts w:ascii="Arial" w:hAnsi="Arial"/>
          <w:b/>
          <w:bCs/>
          <w:i w:val="0"/>
          <w:sz w:val="24"/>
          <w:szCs w:val="24"/>
        </w:rPr>
      </w:pPr>
    </w:p>
    <w:p w:rsidR="00FC4676" w:rsidRPr="000A2AB3" w:rsidRDefault="00FC4676" w:rsidP="00FC4676">
      <w:pPr>
        <w:spacing w:before="140" w:line="260" w:lineRule="exact"/>
        <w:rPr>
          <w:rFonts w:cs="Arial"/>
          <w:szCs w:val="22"/>
        </w:rPr>
      </w:pPr>
      <w:r w:rsidRPr="000A2AB3">
        <w:rPr>
          <w:rFonts w:cs="Arial"/>
          <w:szCs w:val="22"/>
        </w:rPr>
        <w:t xml:space="preserve">V druhé polovině roku 2015 byl hlavním hygienikem České republiky vyhlášen cílený úkol zaměřený na zmonitorování rozsahu nabídky a pestrosti pokrmů ve stravovacích službách v zařízeních sociálních služeb a zdravotnických zařízeních. Úkol vychází z potřeby získat validní informace a přehled o nabídce pokrmů a potravin, a jejich vhodnosti se zaměřením na danou cílovou skupinu populace.  </w:t>
      </w:r>
    </w:p>
    <w:p w:rsidR="00694BED" w:rsidRPr="000A2AB3" w:rsidRDefault="00FC4676" w:rsidP="00FC4676">
      <w:pPr>
        <w:spacing w:before="140" w:line="260" w:lineRule="exact"/>
        <w:rPr>
          <w:rFonts w:cs="Arial"/>
          <w:bCs/>
          <w:i/>
          <w:szCs w:val="22"/>
        </w:rPr>
      </w:pPr>
      <w:r w:rsidRPr="000A2AB3">
        <w:rPr>
          <w:rFonts w:cs="Arial"/>
          <w:bCs/>
          <w:szCs w:val="22"/>
        </w:rPr>
        <w:t xml:space="preserve">Úkol byl </w:t>
      </w:r>
      <w:r w:rsidR="00694BED" w:rsidRPr="000A2AB3">
        <w:rPr>
          <w:rFonts w:cs="Arial"/>
          <w:bCs/>
          <w:szCs w:val="22"/>
        </w:rPr>
        <w:t xml:space="preserve">zaměřen na monitoring nabídky potravin a pokrmů ve stravovacích službách ve vybraných zařízeních sociálních služeb (celodenní stravování seniorů) a zdravotnických zařízeních. Součástí je rovněž monitoring výživové hodnoty poskytované celodenní stravy ve vybraných zařízeních stravovacích služeb. </w:t>
      </w:r>
      <w:r w:rsidRPr="000A2AB3">
        <w:rPr>
          <w:rFonts w:cs="Arial"/>
          <w:bCs/>
          <w:szCs w:val="22"/>
        </w:rPr>
        <w:t xml:space="preserve">Tento úkol </w:t>
      </w:r>
      <w:r w:rsidRPr="000A2AB3">
        <w:rPr>
          <w:rFonts w:cs="Arial"/>
          <w:szCs w:val="22"/>
        </w:rPr>
        <w:t xml:space="preserve">navazuje na pilotní projekt z roku 2014, kdy se jedná o jeho pokračování </w:t>
      </w:r>
      <w:r w:rsidR="00414413" w:rsidRPr="000A2AB3">
        <w:rPr>
          <w:rFonts w:cs="Arial"/>
          <w:szCs w:val="22"/>
        </w:rPr>
        <w:t xml:space="preserve">v rozšířené podobě. </w:t>
      </w:r>
      <w:r w:rsidRPr="000A2AB3">
        <w:rPr>
          <w:rFonts w:cs="Arial"/>
          <w:szCs w:val="22"/>
        </w:rPr>
        <w:t xml:space="preserve"> </w:t>
      </w:r>
    </w:p>
    <w:p w:rsidR="00694BED" w:rsidRPr="000A2AB3" w:rsidRDefault="00694BED" w:rsidP="00694BED">
      <w:pPr>
        <w:pStyle w:val="Nadpis7"/>
        <w:spacing w:before="140" w:line="260" w:lineRule="exact"/>
        <w:jc w:val="both"/>
        <w:rPr>
          <w:rFonts w:ascii="Arial" w:hAnsi="Arial" w:cs="Arial"/>
          <w:bCs/>
          <w:i w:val="0"/>
          <w:color w:val="auto"/>
          <w:sz w:val="22"/>
          <w:szCs w:val="22"/>
        </w:rPr>
      </w:pPr>
      <w:r w:rsidRPr="000A2AB3">
        <w:rPr>
          <w:rFonts w:ascii="Arial" w:hAnsi="Arial" w:cs="Arial"/>
          <w:i w:val="0"/>
          <w:color w:val="auto"/>
          <w:sz w:val="22"/>
          <w:szCs w:val="22"/>
        </w:rPr>
        <w:t xml:space="preserve">Právní rámec pro tento SZD představuje </w:t>
      </w:r>
      <w:r w:rsidRPr="000A2AB3">
        <w:rPr>
          <w:rFonts w:ascii="Arial" w:hAnsi="Arial" w:cs="Arial"/>
          <w:bCs/>
          <w:i w:val="0"/>
          <w:color w:val="auto"/>
          <w:sz w:val="22"/>
          <w:szCs w:val="22"/>
        </w:rPr>
        <w:t>zákon č. 258/2000 Sb., o ochraně veřejného zdraví a o změně některých souvisejících zákonů, ve znění pozdějších předpisů, konkrétně § 24 odst. 1 písm. c), podle kterého musí provozovatel potravinářského podniku provozující stravovací službu zajistit, aby podávané pokrmy měly odpovídající smyslové vlastnosti a splňovaly výživové požadavky podle skupiny spotřebitelů, pro které jsou určeny.</w:t>
      </w:r>
    </w:p>
    <w:p w:rsidR="00694BED" w:rsidRPr="000A2AB3" w:rsidRDefault="00694BED" w:rsidP="00694BED">
      <w:pPr>
        <w:rPr>
          <w:rFonts w:cs="Arial"/>
          <w:i/>
          <w:szCs w:val="22"/>
        </w:rPr>
      </w:pPr>
    </w:p>
    <w:p w:rsidR="00694BED" w:rsidRPr="000A2AB3" w:rsidRDefault="00694BED" w:rsidP="00694BED">
      <w:pPr>
        <w:autoSpaceDE w:val="0"/>
        <w:autoSpaceDN w:val="0"/>
        <w:adjustRightInd w:val="0"/>
        <w:rPr>
          <w:rFonts w:eastAsiaTheme="minorHAnsi" w:cs="Arial"/>
          <w:szCs w:val="22"/>
          <w:lang w:eastAsia="en-US"/>
        </w:rPr>
      </w:pPr>
      <w:r w:rsidRPr="000A2AB3">
        <w:rPr>
          <w:rFonts w:eastAsiaTheme="minorHAnsi" w:cs="Arial"/>
          <w:szCs w:val="22"/>
          <w:lang w:eastAsia="en-US"/>
        </w:rPr>
        <w:t>Tento úkol je rovněž praktickou realizací jedné z priorit v oblasti výživy stanovené ve Strategii bezpečnosti potravin a výživy 2014 – 2020, tedy analyzovat stávající stav výživy populace ČR se zohledněním zdravotního stavu obyvatelstva, a dále Akčního plánu pro oblast správné výživy, zejména klíčové priority 4: Podpora dozoru, sledování, hodnocení a výzkumu správné výživy a nutričního stavu obyvatelstva ČR a jeho podskupin.</w:t>
      </w:r>
    </w:p>
    <w:p w:rsidR="00694BED" w:rsidRPr="000A2AB3" w:rsidRDefault="00694BED" w:rsidP="00694BED">
      <w:pPr>
        <w:autoSpaceDE w:val="0"/>
        <w:autoSpaceDN w:val="0"/>
        <w:adjustRightInd w:val="0"/>
        <w:rPr>
          <w:rFonts w:eastAsiaTheme="minorHAnsi" w:cs="Arial"/>
          <w:szCs w:val="22"/>
          <w:lang w:eastAsia="en-US"/>
        </w:rPr>
      </w:pPr>
    </w:p>
    <w:p w:rsidR="00694BED" w:rsidRPr="000A2AB3" w:rsidRDefault="00694BED" w:rsidP="00694BED">
      <w:pPr>
        <w:pStyle w:val="Nadpis7"/>
        <w:keepNext w:val="0"/>
        <w:spacing w:line="260" w:lineRule="exact"/>
        <w:jc w:val="both"/>
        <w:rPr>
          <w:rFonts w:ascii="Arial" w:hAnsi="Arial" w:cs="Arial"/>
          <w:b/>
          <w:bCs/>
          <w:i w:val="0"/>
          <w:sz w:val="22"/>
          <w:szCs w:val="22"/>
        </w:rPr>
      </w:pPr>
      <w:r w:rsidRPr="000A2AB3">
        <w:rPr>
          <w:rFonts w:ascii="Arial" w:hAnsi="Arial" w:cs="Arial"/>
          <w:b/>
          <w:bCs/>
          <w:i w:val="0"/>
          <w:sz w:val="22"/>
          <w:szCs w:val="22"/>
        </w:rPr>
        <w:t>Důvody sledování</w:t>
      </w:r>
    </w:p>
    <w:p w:rsidR="00694BED" w:rsidRPr="000A2AB3" w:rsidRDefault="00694BED" w:rsidP="00F27EE7">
      <w:pPr>
        <w:pStyle w:val="Nadpis7"/>
        <w:keepNext w:val="0"/>
        <w:spacing w:before="0"/>
        <w:jc w:val="both"/>
        <w:rPr>
          <w:rFonts w:ascii="Arial" w:hAnsi="Arial" w:cs="Arial"/>
          <w:i w:val="0"/>
          <w:color w:val="auto"/>
          <w:sz w:val="22"/>
          <w:szCs w:val="22"/>
        </w:rPr>
      </w:pPr>
      <w:r w:rsidRPr="000A2AB3">
        <w:rPr>
          <w:rFonts w:ascii="Arial" w:hAnsi="Arial" w:cs="Arial"/>
          <w:i w:val="0"/>
          <w:color w:val="auto"/>
          <w:sz w:val="22"/>
          <w:szCs w:val="22"/>
        </w:rPr>
        <w:t>Jednou ze základních úkolů hygienické služby je její role v primární prevenci, a tato role je přiznána hygienické službě i ve schválené koncepci. Jedním z významných faktorů ovlivňujících zdravotní stav populace je způsob stravování, nabídka potravin a pokrmů. Stravování hraje významnou roli zejména u nejrizikovějších skupin populace, kdy úprava stravy může vést k významné pozitivní změně zdravotního stravu jednotlivých osob.</w:t>
      </w:r>
    </w:p>
    <w:p w:rsidR="00694BED" w:rsidRPr="000A2AB3" w:rsidRDefault="00694BED" w:rsidP="00F27EE7">
      <w:pPr>
        <w:rPr>
          <w:rFonts w:cs="Arial"/>
          <w:szCs w:val="22"/>
        </w:rPr>
      </w:pPr>
      <w:r w:rsidRPr="000A2AB3">
        <w:rPr>
          <w:rFonts w:cs="Arial"/>
          <w:szCs w:val="22"/>
        </w:rPr>
        <w:t xml:space="preserve">Jako problematický se ukazuje stav stravování v seniorské části populace, která má odlišné požadavky na stravu a zejména na její výživovou hodnotu. Obvykle senioři konzumují množstevně méně potravin, ale o to by měla být strava výživově hodnotnější a odpovídat jejich potřebám. Jako příklad je možné zmínit zvýšenou potřebu vápníku a vitaminu D z důvodu řídnutí kostí, kdy se dává přednost jejich přívodu z potravin (zejména vhodné mléčné výrobky). Dalším faktorem je i forma nabízené stravy (tekutá, mechanicky upravená </w:t>
      </w:r>
      <w:r w:rsidRPr="000A2AB3">
        <w:rPr>
          <w:rFonts w:cs="Arial"/>
          <w:szCs w:val="22"/>
        </w:rPr>
        <w:lastRenderedPageBreak/>
        <w:t xml:space="preserve">nebo pevná forma), kdy lze za daleko vhodnější formu považovat např. ovoce nebo zeleninu nakrájené na malé kousky nebo nastrouhané, případně rozmělněné, než podávat celé plody. </w:t>
      </w:r>
    </w:p>
    <w:p w:rsidR="00694BED" w:rsidRPr="000A2AB3" w:rsidRDefault="00694BED" w:rsidP="00F27EE7">
      <w:pPr>
        <w:rPr>
          <w:rFonts w:cs="Arial"/>
          <w:szCs w:val="22"/>
        </w:rPr>
      </w:pPr>
      <w:r w:rsidRPr="000A2AB3">
        <w:rPr>
          <w:rFonts w:cs="Arial"/>
          <w:szCs w:val="22"/>
        </w:rPr>
        <w:t>Opakovaně se objevují stížnosti na nevhodnou stravu a potraviny podávané v zařízeních sociálních služeb a ve zdravotnických zařízeních</w:t>
      </w:r>
      <w:r w:rsidR="004B5D46" w:rsidRPr="000A2AB3">
        <w:rPr>
          <w:rFonts w:cs="Arial"/>
          <w:szCs w:val="22"/>
        </w:rPr>
        <w:t>, kdy se poměrně často objevuje kritika stravování ve zdravotnických zařízeních, zejména z pohledu jejich senzorické kvality</w:t>
      </w:r>
      <w:r w:rsidRPr="000A2AB3">
        <w:rPr>
          <w:rFonts w:cs="Arial"/>
          <w:szCs w:val="22"/>
        </w:rPr>
        <w:t>.</w:t>
      </w:r>
    </w:p>
    <w:p w:rsidR="00694BED" w:rsidRPr="000A2AB3" w:rsidRDefault="00694BED" w:rsidP="00F27EE7">
      <w:pPr>
        <w:rPr>
          <w:rFonts w:cs="Arial"/>
          <w:szCs w:val="22"/>
        </w:rPr>
      </w:pPr>
      <w:r w:rsidRPr="000A2AB3">
        <w:rPr>
          <w:rFonts w:cs="Arial"/>
          <w:szCs w:val="22"/>
        </w:rPr>
        <w:t>Pilotní projekt byl realizován ve druhé polovině roku 2014, kdy byl shromážděn soubor informací, které indikují některé problémy (</w:t>
      </w:r>
      <w:hyperlink r:id="rId10" w:history="1">
        <w:r w:rsidR="00FC4676" w:rsidRPr="000A2AB3">
          <w:rPr>
            <w:rStyle w:val="Hypertextovodkaz"/>
            <w:rFonts w:cs="Arial"/>
            <w:szCs w:val="22"/>
          </w:rPr>
          <w:t>http://www.mzcr.cz/Verejne/dokumenty/vyhodnoceni-cileneho-ukolu-zamereneho-na-pestrost-stravy-ve-zdravotnickych-zariz_10280_1206_5.htm</w:t>
        </w:r>
      </w:hyperlink>
      <w:r w:rsidRPr="000A2AB3">
        <w:rPr>
          <w:rFonts w:cs="Arial"/>
          <w:szCs w:val="22"/>
        </w:rPr>
        <w:t>),</w:t>
      </w:r>
      <w:r w:rsidR="00FC4676" w:rsidRPr="000A2AB3">
        <w:rPr>
          <w:rFonts w:cs="Arial"/>
          <w:szCs w:val="22"/>
        </w:rPr>
        <w:t xml:space="preserve"> </w:t>
      </w:r>
      <w:r w:rsidRPr="000A2AB3">
        <w:rPr>
          <w:rFonts w:cs="Arial"/>
          <w:szCs w:val="22"/>
        </w:rPr>
        <w:t xml:space="preserve">ale také příklady dobré praxe. </w:t>
      </w:r>
    </w:p>
    <w:p w:rsidR="004B5D46" w:rsidRPr="000A2AB3" w:rsidRDefault="00694BED" w:rsidP="00F27EE7">
      <w:pPr>
        <w:rPr>
          <w:rFonts w:cs="Arial"/>
          <w:szCs w:val="22"/>
        </w:rPr>
      </w:pPr>
      <w:r w:rsidRPr="000A2AB3">
        <w:rPr>
          <w:rFonts w:cs="Arial"/>
          <w:szCs w:val="22"/>
        </w:rPr>
        <w:t xml:space="preserve">Aby bylo možné přijmout vhodná opatření, je nutné provést další šetření za účelem sběru dalších validních informací, které pomohou získat přehled o pestrosti a rozsahu nabídky potravin a pokrmů podávaných v provozovnách stravovacích služeb v zařízeních sociálních služeb a zdravotnických zařízeních. </w:t>
      </w:r>
    </w:p>
    <w:p w:rsidR="00694BED" w:rsidRPr="000A2AB3" w:rsidRDefault="00694BED" w:rsidP="00F27EE7">
      <w:pPr>
        <w:rPr>
          <w:rFonts w:cs="Arial"/>
          <w:szCs w:val="22"/>
        </w:rPr>
      </w:pPr>
      <w:r w:rsidRPr="000A2AB3">
        <w:rPr>
          <w:rFonts w:cs="Arial"/>
          <w:szCs w:val="22"/>
        </w:rPr>
        <w:t xml:space="preserve">Vedle tohoto aspektu </w:t>
      </w:r>
      <w:r w:rsidR="00FC4676" w:rsidRPr="000A2AB3">
        <w:rPr>
          <w:rFonts w:cs="Arial"/>
          <w:szCs w:val="22"/>
        </w:rPr>
        <w:t>bylo</w:t>
      </w:r>
      <w:r w:rsidRPr="000A2AB3">
        <w:rPr>
          <w:rFonts w:cs="Arial"/>
          <w:szCs w:val="22"/>
        </w:rPr>
        <w:t xml:space="preserve"> také</w:t>
      </w:r>
      <w:r w:rsidR="00FC4676" w:rsidRPr="000A2AB3">
        <w:rPr>
          <w:rFonts w:cs="Arial"/>
          <w:szCs w:val="22"/>
        </w:rPr>
        <w:t xml:space="preserve"> nutné</w:t>
      </w:r>
      <w:r w:rsidRPr="000A2AB3">
        <w:rPr>
          <w:rFonts w:cs="Arial"/>
          <w:szCs w:val="22"/>
        </w:rPr>
        <w:t xml:space="preserve"> rozšířit úkol o vyhodnocování výživ</w:t>
      </w:r>
      <w:r w:rsidR="00FC4676" w:rsidRPr="000A2AB3">
        <w:rPr>
          <w:rFonts w:cs="Arial"/>
          <w:szCs w:val="22"/>
        </w:rPr>
        <w:t>ové hodnoty poskytované stravy</w:t>
      </w:r>
      <w:r w:rsidRPr="000A2AB3">
        <w:rPr>
          <w:rFonts w:cs="Arial"/>
          <w:szCs w:val="22"/>
        </w:rPr>
        <w:t xml:space="preserve"> praktickým ověřením obsahu základních živin prostřednictvím laboratorních analýz.</w:t>
      </w:r>
    </w:p>
    <w:p w:rsidR="00670578" w:rsidRPr="000A2AB3" w:rsidRDefault="00670578" w:rsidP="00F27EE7">
      <w:pPr>
        <w:rPr>
          <w:rFonts w:cs="Arial"/>
          <w:b/>
          <w:bCs/>
          <w:szCs w:val="22"/>
        </w:rPr>
      </w:pPr>
    </w:p>
    <w:p w:rsidR="00694BED" w:rsidRPr="000A2AB3" w:rsidRDefault="00694BED" w:rsidP="00F27EE7">
      <w:pPr>
        <w:rPr>
          <w:rFonts w:cs="Arial"/>
          <w:szCs w:val="22"/>
        </w:rPr>
      </w:pPr>
      <w:r w:rsidRPr="000A2AB3">
        <w:rPr>
          <w:rFonts w:cs="Arial"/>
          <w:b/>
          <w:bCs/>
          <w:szCs w:val="22"/>
        </w:rPr>
        <w:t>Provedení státního zdravotního dozoru</w:t>
      </w:r>
    </w:p>
    <w:p w:rsidR="00694BED" w:rsidRPr="000A2AB3" w:rsidRDefault="00694BED" w:rsidP="00F27EE7">
      <w:pPr>
        <w:pStyle w:val="Nadpis7"/>
        <w:keepNext w:val="0"/>
        <w:spacing w:before="0"/>
        <w:jc w:val="both"/>
        <w:rPr>
          <w:rFonts w:ascii="Arial" w:hAnsi="Arial" w:cs="Arial"/>
          <w:i w:val="0"/>
          <w:color w:val="auto"/>
          <w:sz w:val="22"/>
          <w:szCs w:val="22"/>
        </w:rPr>
      </w:pPr>
      <w:r w:rsidRPr="000A2AB3">
        <w:rPr>
          <w:rFonts w:ascii="Arial" w:hAnsi="Arial" w:cs="Arial"/>
          <w:i w:val="0"/>
          <w:color w:val="auto"/>
          <w:sz w:val="22"/>
          <w:szCs w:val="22"/>
        </w:rPr>
        <w:t xml:space="preserve">Státní zdravotní dozor </w:t>
      </w:r>
      <w:r w:rsidR="004B5D46" w:rsidRPr="000A2AB3">
        <w:rPr>
          <w:rFonts w:ascii="Arial" w:hAnsi="Arial" w:cs="Arial"/>
          <w:i w:val="0"/>
          <w:color w:val="auto"/>
          <w:sz w:val="22"/>
          <w:szCs w:val="22"/>
        </w:rPr>
        <w:t xml:space="preserve">byl realizován ve druhé polovině roku 2015, </w:t>
      </w:r>
      <w:r w:rsidRPr="000A2AB3">
        <w:rPr>
          <w:rFonts w:ascii="Arial" w:hAnsi="Arial" w:cs="Arial"/>
          <w:i w:val="0"/>
          <w:color w:val="auto"/>
          <w:sz w:val="22"/>
          <w:szCs w:val="22"/>
        </w:rPr>
        <w:t xml:space="preserve">v období říjen – listopad 2015. V každém </w:t>
      </w:r>
      <w:r w:rsidR="004B5D46" w:rsidRPr="000A2AB3">
        <w:rPr>
          <w:rFonts w:ascii="Arial" w:hAnsi="Arial" w:cs="Arial"/>
          <w:i w:val="0"/>
          <w:color w:val="auto"/>
          <w:sz w:val="22"/>
          <w:szCs w:val="22"/>
        </w:rPr>
        <w:t xml:space="preserve">monitorovaném </w:t>
      </w:r>
      <w:r w:rsidRPr="000A2AB3">
        <w:rPr>
          <w:rFonts w:ascii="Arial" w:hAnsi="Arial" w:cs="Arial"/>
          <w:i w:val="0"/>
          <w:color w:val="auto"/>
          <w:sz w:val="22"/>
          <w:szCs w:val="22"/>
        </w:rPr>
        <w:t>zařízení</w:t>
      </w:r>
      <w:r w:rsidR="004B5D46" w:rsidRPr="000A2AB3">
        <w:rPr>
          <w:rFonts w:ascii="Arial" w:hAnsi="Arial" w:cs="Arial"/>
          <w:i w:val="0"/>
          <w:color w:val="auto"/>
          <w:sz w:val="22"/>
          <w:szCs w:val="22"/>
        </w:rPr>
        <w:t xml:space="preserve">, vždy se jednalo o </w:t>
      </w:r>
      <w:r w:rsidR="00625ED6" w:rsidRPr="000A2AB3">
        <w:rPr>
          <w:rFonts w:ascii="Arial" w:hAnsi="Arial" w:cs="Arial"/>
          <w:i w:val="0"/>
          <w:color w:val="auto"/>
          <w:sz w:val="22"/>
          <w:szCs w:val="22"/>
        </w:rPr>
        <w:t xml:space="preserve">stravovací zařízení s </w:t>
      </w:r>
      <w:r w:rsidR="004B5D46" w:rsidRPr="000A2AB3">
        <w:rPr>
          <w:rFonts w:ascii="Arial" w:hAnsi="Arial" w:cs="Arial"/>
          <w:i w:val="0"/>
          <w:color w:val="auto"/>
          <w:sz w:val="22"/>
          <w:szCs w:val="22"/>
        </w:rPr>
        <w:t>nabídk</w:t>
      </w:r>
      <w:r w:rsidR="00625ED6" w:rsidRPr="000A2AB3">
        <w:rPr>
          <w:rFonts w:ascii="Arial" w:hAnsi="Arial" w:cs="Arial"/>
          <w:i w:val="0"/>
          <w:color w:val="auto"/>
          <w:sz w:val="22"/>
          <w:szCs w:val="22"/>
        </w:rPr>
        <w:t>o</w:t>
      </w:r>
      <w:r w:rsidR="004B5D46" w:rsidRPr="000A2AB3">
        <w:rPr>
          <w:rFonts w:ascii="Arial" w:hAnsi="Arial" w:cs="Arial"/>
          <w:i w:val="0"/>
          <w:color w:val="auto"/>
          <w:sz w:val="22"/>
          <w:szCs w:val="22"/>
        </w:rPr>
        <w:t xml:space="preserve">u celodenního stravování, </w:t>
      </w:r>
      <w:r w:rsidRPr="000A2AB3">
        <w:rPr>
          <w:rFonts w:ascii="Arial" w:hAnsi="Arial" w:cs="Arial"/>
          <w:i w:val="0"/>
          <w:color w:val="auto"/>
          <w:sz w:val="22"/>
          <w:szCs w:val="22"/>
        </w:rPr>
        <w:t>b</w:t>
      </w:r>
      <w:r w:rsidR="004B5D46" w:rsidRPr="000A2AB3">
        <w:rPr>
          <w:rFonts w:ascii="Arial" w:hAnsi="Arial" w:cs="Arial"/>
          <w:i w:val="0"/>
          <w:color w:val="auto"/>
          <w:sz w:val="22"/>
          <w:szCs w:val="22"/>
        </w:rPr>
        <w:t>yly</w:t>
      </w:r>
      <w:r w:rsidRPr="000A2AB3">
        <w:rPr>
          <w:rFonts w:ascii="Arial" w:hAnsi="Arial" w:cs="Arial"/>
          <w:i w:val="0"/>
          <w:color w:val="auto"/>
          <w:sz w:val="22"/>
          <w:szCs w:val="22"/>
        </w:rPr>
        <w:t xml:space="preserve"> shromážděny jídelníčky za poslední 4 týdny</w:t>
      </w:r>
      <w:r w:rsidR="004B5D46" w:rsidRPr="000A2AB3">
        <w:rPr>
          <w:rFonts w:ascii="Arial" w:hAnsi="Arial" w:cs="Arial"/>
          <w:i w:val="0"/>
          <w:color w:val="auto"/>
          <w:sz w:val="22"/>
          <w:szCs w:val="22"/>
        </w:rPr>
        <w:t>.</w:t>
      </w:r>
    </w:p>
    <w:p w:rsidR="00694BED" w:rsidRPr="000A2AB3" w:rsidRDefault="00625ED6" w:rsidP="00F27EE7">
      <w:pPr>
        <w:pStyle w:val="Nadpis7"/>
        <w:keepNext w:val="0"/>
        <w:spacing w:before="0"/>
        <w:jc w:val="both"/>
        <w:rPr>
          <w:rFonts w:ascii="Arial" w:hAnsi="Arial" w:cs="Arial"/>
          <w:i w:val="0"/>
          <w:color w:val="auto"/>
          <w:sz w:val="22"/>
          <w:szCs w:val="22"/>
        </w:rPr>
      </w:pPr>
      <w:r w:rsidRPr="000A2AB3">
        <w:rPr>
          <w:rFonts w:ascii="Arial" w:hAnsi="Arial" w:cs="Arial"/>
          <w:i w:val="0"/>
          <w:color w:val="auto"/>
          <w:sz w:val="22"/>
          <w:szCs w:val="22"/>
        </w:rPr>
        <w:t>V rámci monitoringu byly shromažďovány</w:t>
      </w:r>
      <w:r w:rsidR="00694BED" w:rsidRPr="000A2AB3">
        <w:rPr>
          <w:rFonts w:ascii="Arial" w:hAnsi="Arial" w:cs="Arial"/>
          <w:i w:val="0"/>
          <w:color w:val="auto"/>
          <w:sz w:val="22"/>
          <w:szCs w:val="22"/>
        </w:rPr>
        <w:t xml:space="preserve"> </w:t>
      </w:r>
      <w:r w:rsidR="002A5444" w:rsidRPr="000A2AB3">
        <w:rPr>
          <w:rFonts w:ascii="Arial" w:hAnsi="Arial" w:cs="Arial"/>
          <w:i w:val="0"/>
          <w:color w:val="auto"/>
          <w:sz w:val="22"/>
          <w:szCs w:val="22"/>
        </w:rPr>
        <w:t xml:space="preserve">zejména </w:t>
      </w:r>
      <w:r w:rsidR="00694BED" w:rsidRPr="000A2AB3">
        <w:rPr>
          <w:rFonts w:ascii="Arial" w:hAnsi="Arial" w:cs="Arial"/>
          <w:i w:val="0"/>
          <w:color w:val="auto"/>
          <w:sz w:val="22"/>
          <w:szCs w:val="22"/>
        </w:rPr>
        <w:t>informace</w:t>
      </w:r>
      <w:r w:rsidRPr="000A2AB3">
        <w:rPr>
          <w:rFonts w:ascii="Arial" w:hAnsi="Arial" w:cs="Arial"/>
          <w:i w:val="0"/>
          <w:color w:val="auto"/>
          <w:sz w:val="22"/>
          <w:szCs w:val="22"/>
        </w:rPr>
        <w:t xml:space="preserve"> o</w:t>
      </w:r>
      <w:r w:rsidR="00694BED" w:rsidRPr="000A2AB3">
        <w:rPr>
          <w:rFonts w:ascii="Arial" w:hAnsi="Arial" w:cs="Arial"/>
          <w:i w:val="0"/>
          <w:color w:val="auto"/>
          <w:sz w:val="22"/>
          <w:szCs w:val="22"/>
        </w:rPr>
        <w:t xml:space="preserve">: </w:t>
      </w:r>
    </w:p>
    <w:p w:rsidR="00694BED" w:rsidRPr="000A2AB3" w:rsidRDefault="00625ED6" w:rsidP="00F27EE7">
      <w:pPr>
        <w:pStyle w:val="Nadpis7"/>
        <w:keepNext w:val="0"/>
        <w:spacing w:before="0"/>
        <w:ind w:left="709"/>
        <w:jc w:val="both"/>
        <w:rPr>
          <w:rFonts w:ascii="Arial" w:hAnsi="Arial" w:cs="Arial"/>
          <w:i w:val="0"/>
          <w:color w:val="auto"/>
          <w:sz w:val="22"/>
          <w:szCs w:val="22"/>
        </w:rPr>
      </w:pPr>
      <w:r w:rsidRPr="000A2AB3">
        <w:rPr>
          <w:rFonts w:ascii="Arial" w:hAnsi="Arial" w:cs="Arial"/>
          <w:i w:val="0"/>
          <w:color w:val="auto"/>
          <w:sz w:val="22"/>
          <w:szCs w:val="22"/>
        </w:rPr>
        <w:t>- charakteristice provozovny stravovacích služeb</w:t>
      </w:r>
    </w:p>
    <w:p w:rsidR="00694BED" w:rsidRPr="000A2AB3" w:rsidRDefault="00625ED6" w:rsidP="00F27EE7">
      <w:pPr>
        <w:pStyle w:val="Nadpis7"/>
        <w:keepNext w:val="0"/>
        <w:spacing w:before="0"/>
        <w:ind w:left="714"/>
        <w:jc w:val="both"/>
        <w:rPr>
          <w:rFonts w:ascii="Arial" w:hAnsi="Arial" w:cs="Arial"/>
          <w:i w:val="0"/>
          <w:color w:val="auto"/>
          <w:sz w:val="22"/>
          <w:szCs w:val="22"/>
        </w:rPr>
      </w:pPr>
      <w:r w:rsidRPr="000A2AB3">
        <w:rPr>
          <w:rFonts w:ascii="Arial" w:hAnsi="Arial" w:cs="Arial"/>
          <w:i w:val="0"/>
          <w:color w:val="auto"/>
          <w:sz w:val="22"/>
          <w:szCs w:val="22"/>
        </w:rPr>
        <w:t xml:space="preserve">- </w:t>
      </w:r>
      <w:r w:rsidR="00694BED" w:rsidRPr="000A2AB3">
        <w:rPr>
          <w:rFonts w:ascii="Arial" w:hAnsi="Arial" w:cs="Arial"/>
          <w:i w:val="0"/>
          <w:color w:val="auto"/>
          <w:sz w:val="22"/>
          <w:szCs w:val="22"/>
        </w:rPr>
        <w:t>rozsah</w:t>
      </w:r>
      <w:r w:rsidRPr="000A2AB3">
        <w:rPr>
          <w:rFonts w:ascii="Arial" w:hAnsi="Arial" w:cs="Arial"/>
          <w:i w:val="0"/>
          <w:color w:val="auto"/>
          <w:sz w:val="22"/>
          <w:szCs w:val="22"/>
        </w:rPr>
        <w:t>u</w:t>
      </w:r>
      <w:r w:rsidR="00694BED" w:rsidRPr="000A2AB3">
        <w:rPr>
          <w:rFonts w:ascii="Arial" w:hAnsi="Arial" w:cs="Arial"/>
          <w:i w:val="0"/>
          <w:color w:val="auto"/>
          <w:sz w:val="22"/>
          <w:szCs w:val="22"/>
        </w:rPr>
        <w:t xml:space="preserve"> celodenního stravování </w:t>
      </w:r>
    </w:p>
    <w:p w:rsidR="00694BED" w:rsidRPr="000A2AB3" w:rsidRDefault="00625ED6" w:rsidP="00F27EE7">
      <w:pPr>
        <w:pStyle w:val="Odstavecseseznamem"/>
        <w:jc w:val="both"/>
        <w:rPr>
          <w:rFonts w:ascii="Arial" w:hAnsi="Arial" w:cs="Arial"/>
          <w:sz w:val="22"/>
          <w:szCs w:val="22"/>
        </w:rPr>
      </w:pPr>
      <w:r w:rsidRPr="000A2AB3">
        <w:rPr>
          <w:rFonts w:ascii="Arial" w:hAnsi="Arial" w:cs="Arial"/>
          <w:sz w:val="22"/>
          <w:szCs w:val="22"/>
        </w:rPr>
        <w:t xml:space="preserve">- </w:t>
      </w:r>
      <w:r w:rsidR="00694BED" w:rsidRPr="000A2AB3">
        <w:rPr>
          <w:rFonts w:ascii="Arial" w:hAnsi="Arial" w:cs="Arial"/>
          <w:sz w:val="22"/>
          <w:szCs w:val="22"/>
        </w:rPr>
        <w:t>způsob</w:t>
      </w:r>
      <w:r w:rsidRPr="000A2AB3">
        <w:rPr>
          <w:rFonts w:ascii="Arial" w:hAnsi="Arial" w:cs="Arial"/>
          <w:sz w:val="22"/>
          <w:szCs w:val="22"/>
        </w:rPr>
        <w:t>u</w:t>
      </w:r>
      <w:r w:rsidR="00694BED" w:rsidRPr="000A2AB3">
        <w:rPr>
          <w:rFonts w:ascii="Arial" w:hAnsi="Arial" w:cs="Arial"/>
          <w:sz w:val="22"/>
          <w:szCs w:val="22"/>
        </w:rPr>
        <w:t xml:space="preserve"> výdeje stravy </w:t>
      </w:r>
    </w:p>
    <w:p w:rsidR="00694BED" w:rsidRPr="000A2AB3" w:rsidRDefault="00625ED6" w:rsidP="00F27EE7">
      <w:pPr>
        <w:pStyle w:val="Odstavecseseznamem"/>
        <w:jc w:val="both"/>
        <w:rPr>
          <w:rFonts w:ascii="Arial" w:hAnsi="Arial" w:cs="Arial"/>
          <w:sz w:val="22"/>
          <w:szCs w:val="22"/>
        </w:rPr>
      </w:pPr>
      <w:r w:rsidRPr="000A2AB3">
        <w:rPr>
          <w:rFonts w:ascii="Arial" w:hAnsi="Arial" w:cs="Arial"/>
          <w:sz w:val="22"/>
          <w:szCs w:val="22"/>
        </w:rPr>
        <w:t xml:space="preserve">- </w:t>
      </w:r>
      <w:r w:rsidR="00694BED" w:rsidRPr="000A2AB3">
        <w:rPr>
          <w:rFonts w:ascii="Arial" w:hAnsi="Arial" w:cs="Arial"/>
          <w:sz w:val="22"/>
          <w:szCs w:val="22"/>
        </w:rPr>
        <w:t>původ</w:t>
      </w:r>
      <w:r w:rsidRPr="000A2AB3">
        <w:rPr>
          <w:rFonts w:ascii="Arial" w:hAnsi="Arial" w:cs="Arial"/>
          <w:sz w:val="22"/>
          <w:szCs w:val="22"/>
        </w:rPr>
        <w:t>u</w:t>
      </w:r>
      <w:r w:rsidR="00694BED" w:rsidRPr="000A2AB3">
        <w:rPr>
          <w:rFonts w:ascii="Arial" w:hAnsi="Arial" w:cs="Arial"/>
          <w:sz w:val="22"/>
          <w:szCs w:val="22"/>
        </w:rPr>
        <w:t xml:space="preserve"> surovin pro přípravu pokrmů</w:t>
      </w:r>
    </w:p>
    <w:p w:rsidR="00694BED" w:rsidRPr="000A2AB3" w:rsidRDefault="002A5444" w:rsidP="00F27EE7">
      <w:pPr>
        <w:pStyle w:val="Odstavecseseznamem"/>
        <w:jc w:val="both"/>
        <w:rPr>
          <w:rFonts w:ascii="Arial" w:hAnsi="Arial" w:cs="Arial"/>
          <w:sz w:val="22"/>
          <w:szCs w:val="22"/>
        </w:rPr>
      </w:pPr>
      <w:r w:rsidRPr="000A2AB3">
        <w:rPr>
          <w:rFonts w:ascii="Arial" w:hAnsi="Arial" w:cs="Arial"/>
          <w:sz w:val="22"/>
          <w:szCs w:val="22"/>
        </w:rPr>
        <w:t xml:space="preserve">- </w:t>
      </w:r>
      <w:r w:rsidR="00694BED" w:rsidRPr="000A2AB3">
        <w:rPr>
          <w:rFonts w:ascii="Arial" w:hAnsi="Arial" w:cs="Arial"/>
          <w:sz w:val="22"/>
          <w:szCs w:val="22"/>
        </w:rPr>
        <w:t>dodávk</w:t>
      </w:r>
      <w:r w:rsidRPr="000A2AB3">
        <w:rPr>
          <w:rFonts w:ascii="Arial" w:hAnsi="Arial" w:cs="Arial"/>
          <w:sz w:val="22"/>
          <w:szCs w:val="22"/>
        </w:rPr>
        <w:t>ách</w:t>
      </w:r>
      <w:r w:rsidR="00694BED" w:rsidRPr="000A2AB3">
        <w:rPr>
          <w:rFonts w:ascii="Arial" w:hAnsi="Arial" w:cs="Arial"/>
          <w:sz w:val="22"/>
          <w:szCs w:val="22"/>
        </w:rPr>
        <w:t xml:space="preserve"> potravin</w:t>
      </w:r>
    </w:p>
    <w:p w:rsidR="00694BED" w:rsidRPr="000A2AB3" w:rsidRDefault="002A5444" w:rsidP="00F27EE7">
      <w:pPr>
        <w:pStyle w:val="Odstavecseseznamem"/>
        <w:jc w:val="both"/>
        <w:rPr>
          <w:rFonts w:ascii="Arial" w:hAnsi="Arial" w:cs="Arial"/>
          <w:sz w:val="22"/>
          <w:szCs w:val="22"/>
        </w:rPr>
      </w:pPr>
      <w:r w:rsidRPr="000A2AB3">
        <w:rPr>
          <w:rFonts w:ascii="Arial" w:hAnsi="Arial" w:cs="Arial"/>
          <w:sz w:val="22"/>
          <w:szCs w:val="22"/>
        </w:rPr>
        <w:t xml:space="preserve">- </w:t>
      </w:r>
      <w:r w:rsidR="00694BED" w:rsidRPr="000A2AB3">
        <w:rPr>
          <w:rFonts w:ascii="Arial" w:hAnsi="Arial" w:cs="Arial"/>
          <w:sz w:val="22"/>
          <w:szCs w:val="22"/>
        </w:rPr>
        <w:t>sestavování jídelníčků</w:t>
      </w:r>
    </w:p>
    <w:p w:rsidR="00694BED" w:rsidRPr="000A2AB3" w:rsidRDefault="002A5444" w:rsidP="00F27EE7">
      <w:pPr>
        <w:pStyle w:val="Odstavecseseznamem"/>
        <w:jc w:val="both"/>
        <w:rPr>
          <w:rFonts w:ascii="Arial" w:hAnsi="Arial" w:cs="Arial"/>
          <w:sz w:val="22"/>
          <w:szCs w:val="22"/>
        </w:rPr>
      </w:pPr>
      <w:r w:rsidRPr="000A2AB3">
        <w:rPr>
          <w:rFonts w:ascii="Arial" w:hAnsi="Arial" w:cs="Arial"/>
          <w:sz w:val="22"/>
          <w:szCs w:val="22"/>
        </w:rPr>
        <w:t xml:space="preserve">- </w:t>
      </w:r>
      <w:r w:rsidR="00694BED" w:rsidRPr="000A2AB3">
        <w:rPr>
          <w:rFonts w:ascii="Arial" w:hAnsi="Arial" w:cs="Arial"/>
          <w:sz w:val="22"/>
          <w:szCs w:val="22"/>
        </w:rPr>
        <w:t>pitn</w:t>
      </w:r>
      <w:r w:rsidRPr="000A2AB3">
        <w:rPr>
          <w:rFonts w:ascii="Arial" w:hAnsi="Arial" w:cs="Arial"/>
          <w:sz w:val="22"/>
          <w:szCs w:val="22"/>
        </w:rPr>
        <w:t>ém</w:t>
      </w:r>
      <w:r w:rsidR="00694BED" w:rsidRPr="000A2AB3">
        <w:rPr>
          <w:rFonts w:ascii="Arial" w:hAnsi="Arial" w:cs="Arial"/>
          <w:sz w:val="22"/>
          <w:szCs w:val="22"/>
        </w:rPr>
        <w:t xml:space="preserve"> režim</w:t>
      </w:r>
      <w:r w:rsidRPr="000A2AB3">
        <w:rPr>
          <w:rFonts w:ascii="Arial" w:hAnsi="Arial" w:cs="Arial"/>
          <w:sz w:val="22"/>
          <w:szCs w:val="22"/>
        </w:rPr>
        <w:t>u</w:t>
      </w:r>
      <w:r w:rsidR="00694BED" w:rsidRPr="000A2AB3">
        <w:rPr>
          <w:rFonts w:ascii="Arial" w:hAnsi="Arial" w:cs="Arial"/>
          <w:sz w:val="22"/>
          <w:szCs w:val="22"/>
        </w:rPr>
        <w:t xml:space="preserve"> </w:t>
      </w:r>
    </w:p>
    <w:p w:rsidR="00694BED" w:rsidRPr="000A2AB3" w:rsidRDefault="002A5444" w:rsidP="00F27EE7">
      <w:pPr>
        <w:pStyle w:val="Odstavecseseznamem"/>
        <w:jc w:val="both"/>
        <w:rPr>
          <w:rFonts w:ascii="Arial" w:hAnsi="Arial" w:cs="Arial"/>
          <w:sz w:val="22"/>
          <w:szCs w:val="22"/>
        </w:rPr>
      </w:pPr>
      <w:r w:rsidRPr="000A2AB3">
        <w:rPr>
          <w:rFonts w:ascii="Arial" w:hAnsi="Arial" w:cs="Arial"/>
          <w:sz w:val="22"/>
          <w:szCs w:val="22"/>
        </w:rPr>
        <w:t>- formě</w:t>
      </w:r>
      <w:r w:rsidR="00694BED" w:rsidRPr="000A2AB3">
        <w:rPr>
          <w:rFonts w:ascii="Arial" w:hAnsi="Arial" w:cs="Arial"/>
          <w:sz w:val="22"/>
          <w:szCs w:val="22"/>
        </w:rPr>
        <w:t xml:space="preserve"> podávání potravin a pokrmů </w:t>
      </w:r>
    </w:p>
    <w:p w:rsidR="00694BED" w:rsidRPr="000A2AB3" w:rsidRDefault="002A5444" w:rsidP="00F27EE7">
      <w:pPr>
        <w:pStyle w:val="Odstavecseseznamem"/>
        <w:jc w:val="both"/>
        <w:rPr>
          <w:rFonts w:ascii="Arial" w:hAnsi="Arial" w:cs="Arial"/>
          <w:sz w:val="22"/>
          <w:szCs w:val="22"/>
        </w:rPr>
      </w:pPr>
      <w:r w:rsidRPr="000A2AB3">
        <w:rPr>
          <w:rFonts w:ascii="Arial" w:hAnsi="Arial" w:cs="Arial"/>
          <w:sz w:val="22"/>
          <w:szCs w:val="22"/>
        </w:rPr>
        <w:t xml:space="preserve">- </w:t>
      </w:r>
      <w:r w:rsidR="00694BED" w:rsidRPr="000A2AB3">
        <w:rPr>
          <w:rFonts w:ascii="Arial" w:hAnsi="Arial" w:cs="Arial"/>
          <w:sz w:val="22"/>
          <w:szCs w:val="22"/>
        </w:rPr>
        <w:t>sledování příjmu stravy a prevence malnutrice</w:t>
      </w:r>
      <w:r w:rsidRPr="000A2AB3">
        <w:rPr>
          <w:rFonts w:ascii="Arial" w:hAnsi="Arial" w:cs="Arial"/>
          <w:sz w:val="22"/>
          <w:szCs w:val="22"/>
        </w:rPr>
        <w:t>.</w:t>
      </w:r>
      <w:r w:rsidR="00694BED" w:rsidRPr="000A2AB3">
        <w:rPr>
          <w:rFonts w:ascii="Arial" w:hAnsi="Arial" w:cs="Arial"/>
          <w:sz w:val="22"/>
          <w:szCs w:val="22"/>
        </w:rPr>
        <w:t xml:space="preserve"> </w:t>
      </w:r>
    </w:p>
    <w:p w:rsidR="00694BED" w:rsidRPr="000A2AB3" w:rsidRDefault="00694BED" w:rsidP="00F27EE7">
      <w:pPr>
        <w:pStyle w:val="Odstavecseseznamem"/>
        <w:jc w:val="both"/>
        <w:rPr>
          <w:rFonts w:ascii="Arial" w:hAnsi="Arial" w:cs="Arial"/>
          <w:sz w:val="22"/>
          <w:szCs w:val="22"/>
        </w:rPr>
      </w:pPr>
      <w:r w:rsidRPr="000A2AB3">
        <w:rPr>
          <w:rFonts w:ascii="Arial" w:hAnsi="Arial" w:cs="Arial"/>
          <w:sz w:val="22"/>
          <w:szCs w:val="22"/>
        </w:rPr>
        <w:t xml:space="preserve"> </w:t>
      </w:r>
    </w:p>
    <w:p w:rsidR="00694BED" w:rsidRPr="000A2AB3" w:rsidRDefault="002A5444" w:rsidP="00F27EE7">
      <w:pPr>
        <w:tabs>
          <w:tab w:val="left" w:pos="2370"/>
          <w:tab w:val="center" w:pos="4535"/>
        </w:tabs>
        <w:rPr>
          <w:rFonts w:cs="Arial"/>
          <w:szCs w:val="22"/>
        </w:rPr>
      </w:pPr>
      <w:r w:rsidRPr="000A2AB3">
        <w:rPr>
          <w:rFonts w:cs="Arial"/>
          <w:szCs w:val="22"/>
        </w:rPr>
        <w:t>Ve správním obvodu každé krajské hygienické stanice (KHS) byl proveden n</w:t>
      </w:r>
      <w:r w:rsidR="00694BED" w:rsidRPr="000A2AB3">
        <w:rPr>
          <w:rFonts w:cs="Arial"/>
          <w:szCs w:val="22"/>
        </w:rPr>
        <w:t>ejméně v 1 zařízení sociálních služeb a 1 zdravotnickém zařízení vzorků celodenní stravy v období jednoho týdne</w:t>
      </w:r>
      <w:r w:rsidRPr="000A2AB3">
        <w:rPr>
          <w:rFonts w:cs="Arial"/>
          <w:szCs w:val="22"/>
        </w:rPr>
        <w:t xml:space="preserve">. </w:t>
      </w:r>
      <w:r w:rsidR="00694BED" w:rsidRPr="000A2AB3">
        <w:rPr>
          <w:rFonts w:cs="Arial"/>
          <w:szCs w:val="22"/>
        </w:rPr>
        <w:t xml:space="preserve">Laboratorní analýza </w:t>
      </w:r>
      <w:r w:rsidR="006A2BE4" w:rsidRPr="000A2AB3">
        <w:rPr>
          <w:rFonts w:cs="Arial"/>
          <w:szCs w:val="22"/>
        </w:rPr>
        <w:t xml:space="preserve">zahrnovala stanovení </w:t>
      </w:r>
      <w:r w:rsidR="00694BED" w:rsidRPr="000A2AB3">
        <w:rPr>
          <w:rFonts w:cs="Arial"/>
          <w:szCs w:val="22"/>
        </w:rPr>
        <w:t>hmotnost</w:t>
      </w:r>
      <w:r w:rsidRPr="000A2AB3">
        <w:rPr>
          <w:rFonts w:cs="Arial"/>
          <w:szCs w:val="22"/>
        </w:rPr>
        <w:t>i</w:t>
      </w:r>
      <w:r w:rsidR="00694BED" w:rsidRPr="000A2AB3">
        <w:rPr>
          <w:rFonts w:cs="Arial"/>
          <w:szCs w:val="22"/>
        </w:rPr>
        <w:t xml:space="preserve"> </w:t>
      </w:r>
      <w:r w:rsidR="006A2BE4" w:rsidRPr="000A2AB3">
        <w:rPr>
          <w:rFonts w:cs="Arial"/>
          <w:szCs w:val="22"/>
        </w:rPr>
        <w:t xml:space="preserve">celodenní </w:t>
      </w:r>
      <w:r w:rsidR="00694BED" w:rsidRPr="000A2AB3">
        <w:rPr>
          <w:rFonts w:cs="Arial"/>
          <w:szCs w:val="22"/>
        </w:rPr>
        <w:t>porce</w:t>
      </w:r>
      <w:r w:rsidR="006A2BE4" w:rsidRPr="000A2AB3">
        <w:rPr>
          <w:rFonts w:cs="Arial"/>
          <w:szCs w:val="22"/>
        </w:rPr>
        <w:t xml:space="preserve">, energetické </w:t>
      </w:r>
      <w:r w:rsidR="00694BED" w:rsidRPr="000A2AB3">
        <w:rPr>
          <w:rFonts w:cs="Arial"/>
          <w:szCs w:val="22"/>
        </w:rPr>
        <w:t>hodnot</w:t>
      </w:r>
      <w:r w:rsidR="006A2BE4" w:rsidRPr="000A2AB3">
        <w:rPr>
          <w:rFonts w:cs="Arial"/>
          <w:szCs w:val="22"/>
        </w:rPr>
        <w:t>y</w:t>
      </w:r>
      <w:r w:rsidR="00694BED" w:rsidRPr="000A2AB3">
        <w:rPr>
          <w:rFonts w:cs="Arial"/>
          <w:szCs w:val="22"/>
        </w:rPr>
        <w:t xml:space="preserve"> celodenní porce</w:t>
      </w:r>
      <w:r w:rsidR="006A2BE4" w:rsidRPr="000A2AB3">
        <w:rPr>
          <w:rFonts w:cs="Arial"/>
          <w:szCs w:val="22"/>
        </w:rPr>
        <w:t xml:space="preserve">, soli, bílkovin, sacharidů, tuků a vlákniny. </w:t>
      </w:r>
      <w:r w:rsidR="00694BED" w:rsidRPr="000A2AB3">
        <w:rPr>
          <w:rFonts w:cs="Arial"/>
          <w:szCs w:val="22"/>
        </w:rPr>
        <w:t xml:space="preserve">  </w:t>
      </w:r>
    </w:p>
    <w:p w:rsidR="00694BED" w:rsidRPr="000A2AB3" w:rsidRDefault="00694BED" w:rsidP="00F27EE7">
      <w:pPr>
        <w:rPr>
          <w:rFonts w:cs="Arial"/>
          <w:szCs w:val="22"/>
        </w:rPr>
      </w:pPr>
    </w:p>
    <w:p w:rsidR="00DC150F" w:rsidRPr="000A2AB3" w:rsidRDefault="00DC150F" w:rsidP="00F27EE7">
      <w:pPr>
        <w:rPr>
          <w:rFonts w:cs="Arial"/>
          <w:szCs w:val="22"/>
        </w:rPr>
      </w:pPr>
      <w:r w:rsidRPr="000A2AB3">
        <w:rPr>
          <w:rFonts w:cs="Arial"/>
          <w:b/>
          <w:noProof/>
        </w:rPr>
        <w:drawing>
          <wp:inline distT="0" distB="0" distL="0" distR="0" wp14:anchorId="4E46B17D" wp14:editId="0913F9EE">
            <wp:extent cx="4135246" cy="2377440"/>
            <wp:effectExtent l="0" t="0" r="0" b="3810"/>
            <wp:docPr id="20" name="Obrázek 20" descr="F:\HVaPBU\Pestrost Nemocnice N.M.n.M\P10909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VaPBU\Pestrost Nemocnice N.M.n.M\P1090925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6165" cy="2377969"/>
                    </a:xfrm>
                    <a:prstGeom prst="rect">
                      <a:avLst/>
                    </a:prstGeom>
                    <a:noFill/>
                    <a:ln>
                      <a:noFill/>
                    </a:ln>
                  </pic:spPr>
                </pic:pic>
              </a:graphicData>
            </a:graphic>
          </wp:inline>
        </w:drawing>
      </w:r>
    </w:p>
    <w:p w:rsidR="00DC150F" w:rsidRPr="000A2AB3" w:rsidRDefault="00DC150F" w:rsidP="00F27EE7">
      <w:pPr>
        <w:rPr>
          <w:rFonts w:cs="Arial"/>
          <w:b/>
          <w:szCs w:val="22"/>
        </w:rPr>
      </w:pPr>
    </w:p>
    <w:p w:rsidR="00DC150F" w:rsidRPr="000A2AB3" w:rsidRDefault="00DC150F" w:rsidP="00DC150F">
      <w:pPr>
        <w:tabs>
          <w:tab w:val="left" w:pos="2370"/>
          <w:tab w:val="center" w:pos="4535"/>
        </w:tabs>
        <w:contextualSpacing/>
        <w:rPr>
          <w:rFonts w:cs="Arial"/>
          <w:bCs/>
          <w:szCs w:val="22"/>
        </w:rPr>
      </w:pPr>
      <w:r w:rsidRPr="000A2AB3">
        <w:rPr>
          <w:rFonts w:cs="Arial"/>
          <w:szCs w:val="22"/>
        </w:rPr>
        <w:t xml:space="preserve">Při hodnocení výživových hodnot byly použity hodnoty uvedené v publikaci vydané Společností pro výživu - </w:t>
      </w:r>
      <w:r w:rsidRPr="000A2AB3">
        <w:rPr>
          <w:rFonts w:cs="Arial"/>
          <w:bCs/>
          <w:szCs w:val="22"/>
        </w:rPr>
        <w:t xml:space="preserve">Referenční hodnoty pro příjem živin, 1. vydání, 2011. Jedná se publikaci, která vychází z referenčních dávek společností pro výživu zemí označovaných jako dávky DACH (Německo, Rakousko, Švýcarsko). Tato doporučení jsou výsledkem řady odborných vědeckých studií a jsou tak považovány za průkazné. Na základě konzultací s odborníky na výživu odpovídají tyto hodnoty současným vědeckým poznatkům o výživě, způsobu a podmínkách života naší populace. </w:t>
      </w:r>
    </w:p>
    <w:p w:rsidR="00DC150F" w:rsidRPr="000A2AB3" w:rsidRDefault="00DC150F" w:rsidP="00DC150F">
      <w:pPr>
        <w:tabs>
          <w:tab w:val="left" w:pos="2370"/>
          <w:tab w:val="center" w:pos="4535"/>
        </w:tabs>
        <w:contextualSpacing/>
        <w:rPr>
          <w:rFonts w:cs="Arial"/>
          <w:bCs/>
          <w:szCs w:val="22"/>
        </w:rPr>
      </w:pPr>
    </w:p>
    <w:p w:rsidR="00694BED" w:rsidRPr="000A2AB3" w:rsidRDefault="00694BED" w:rsidP="00DC150F">
      <w:pPr>
        <w:tabs>
          <w:tab w:val="left" w:pos="2370"/>
          <w:tab w:val="center" w:pos="4535"/>
        </w:tabs>
        <w:contextualSpacing/>
        <w:rPr>
          <w:rFonts w:cs="Arial"/>
          <w:szCs w:val="22"/>
        </w:rPr>
      </w:pPr>
      <w:r w:rsidRPr="000A2AB3">
        <w:rPr>
          <w:rFonts w:cs="Arial"/>
          <w:szCs w:val="22"/>
        </w:rPr>
        <w:t xml:space="preserve">Pestrost stravy </w:t>
      </w:r>
      <w:r w:rsidR="002A5444" w:rsidRPr="000A2AB3">
        <w:rPr>
          <w:rFonts w:cs="Arial"/>
          <w:szCs w:val="22"/>
        </w:rPr>
        <w:t xml:space="preserve">byla </w:t>
      </w:r>
      <w:r w:rsidRPr="000A2AB3">
        <w:rPr>
          <w:rFonts w:cs="Arial"/>
          <w:szCs w:val="22"/>
        </w:rPr>
        <w:t>hodno</w:t>
      </w:r>
      <w:r w:rsidR="002A5444" w:rsidRPr="000A2AB3">
        <w:rPr>
          <w:rFonts w:cs="Arial"/>
          <w:szCs w:val="22"/>
        </w:rPr>
        <w:t>cena</w:t>
      </w:r>
      <w:r w:rsidRPr="000A2AB3">
        <w:rPr>
          <w:rFonts w:cs="Arial"/>
          <w:szCs w:val="22"/>
        </w:rPr>
        <w:t xml:space="preserve"> bodováním jídelníčku za 4 týdny. </w:t>
      </w:r>
      <w:r w:rsidR="002A5444" w:rsidRPr="000A2AB3">
        <w:rPr>
          <w:rFonts w:cs="Arial"/>
          <w:szCs w:val="22"/>
        </w:rPr>
        <w:t xml:space="preserve">Výsledkem bodování byl výpočet </w:t>
      </w:r>
      <w:r w:rsidRPr="000A2AB3">
        <w:rPr>
          <w:rFonts w:cs="Arial"/>
          <w:szCs w:val="22"/>
        </w:rPr>
        <w:t>koeficient pestrosti.</w:t>
      </w:r>
      <w:r w:rsidR="002A5444" w:rsidRPr="000A2AB3">
        <w:rPr>
          <w:rFonts w:cs="Arial"/>
          <w:szCs w:val="22"/>
        </w:rPr>
        <w:t xml:space="preserve"> K obecným zásadám pestrosti patří: </w:t>
      </w:r>
    </w:p>
    <w:p w:rsidR="00694BED" w:rsidRPr="000A2AB3" w:rsidRDefault="006A2BE4" w:rsidP="00F27EE7">
      <w:pPr>
        <w:pStyle w:val="Odstavecseseznamem"/>
        <w:numPr>
          <w:ilvl w:val="0"/>
          <w:numId w:val="14"/>
        </w:numPr>
        <w:contextualSpacing/>
        <w:jc w:val="both"/>
        <w:rPr>
          <w:rFonts w:ascii="Arial" w:hAnsi="Arial" w:cs="Arial"/>
          <w:sz w:val="22"/>
          <w:szCs w:val="22"/>
        </w:rPr>
      </w:pPr>
      <w:r w:rsidRPr="000A2AB3">
        <w:rPr>
          <w:rFonts w:ascii="Arial" w:hAnsi="Arial" w:cs="Arial"/>
          <w:sz w:val="22"/>
          <w:szCs w:val="22"/>
        </w:rPr>
        <w:t>neopakování pokrmů</w:t>
      </w:r>
    </w:p>
    <w:p w:rsidR="00694BED" w:rsidRPr="000A2AB3" w:rsidRDefault="006A2BE4" w:rsidP="00F27EE7">
      <w:pPr>
        <w:pStyle w:val="Odstavecseseznamem"/>
        <w:numPr>
          <w:ilvl w:val="0"/>
          <w:numId w:val="14"/>
        </w:numPr>
        <w:contextualSpacing/>
        <w:jc w:val="both"/>
        <w:rPr>
          <w:rFonts w:ascii="Arial" w:hAnsi="Arial" w:cs="Arial"/>
          <w:sz w:val="22"/>
          <w:szCs w:val="22"/>
        </w:rPr>
      </w:pPr>
      <w:r w:rsidRPr="000A2AB3">
        <w:rPr>
          <w:rFonts w:ascii="Arial" w:hAnsi="Arial" w:cs="Arial"/>
          <w:sz w:val="22"/>
          <w:szCs w:val="22"/>
        </w:rPr>
        <w:t xml:space="preserve">zahrnutí </w:t>
      </w:r>
      <w:r w:rsidR="00694BED" w:rsidRPr="000A2AB3">
        <w:rPr>
          <w:rFonts w:ascii="Arial" w:hAnsi="Arial" w:cs="Arial"/>
          <w:sz w:val="22"/>
          <w:szCs w:val="22"/>
        </w:rPr>
        <w:t>čerstvé</w:t>
      </w:r>
      <w:r w:rsidRPr="000A2AB3">
        <w:rPr>
          <w:rFonts w:ascii="Arial" w:hAnsi="Arial" w:cs="Arial"/>
          <w:sz w:val="22"/>
          <w:szCs w:val="22"/>
        </w:rPr>
        <w:t>ho</w:t>
      </w:r>
      <w:r w:rsidR="00694BED" w:rsidRPr="000A2AB3">
        <w:rPr>
          <w:rFonts w:ascii="Arial" w:hAnsi="Arial" w:cs="Arial"/>
          <w:sz w:val="22"/>
          <w:szCs w:val="22"/>
        </w:rPr>
        <w:t xml:space="preserve"> ovoce a zelenin</w:t>
      </w:r>
      <w:r w:rsidRPr="000A2AB3">
        <w:rPr>
          <w:rFonts w:ascii="Arial" w:hAnsi="Arial" w:cs="Arial"/>
          <w:sz w:val="22"/>
          <w:szCs w:val="22"/>
        </w:rPr>
        <w:t>y</w:t>
      </w:r>
    </w:p>
    <w:p w:rsidR="00694BED" w:rsidRPr="000A2AB3" w:rsidRDefault="006A2BE4" w:rsidP="00F27EE7">
      <w:pPr>
        <w:pStyle w:val="Odstavecseseznamem"/>
        <w:numPr>
          <w:ilvl w:val="0"/>
          <w:numId w:val="14"/>
        </w:numPr>
        <w:contextualSpacing/>
        <w:jc w:val="both"/>
        <w:rPr>
          <w:rFonts w:ascii="Arial" w:hAnsi="Arial" w:cs="Arial"/>
          <w:sz w:val="22"/>
          <w:szCs w:val="22"/>
        </w:rPr>
      </w:pPr>
      <w:r w:rsidRPr="000A2AB3">
        <w:rPr>
          <w:rFonts w:ascii="Arial" w:hAnsi="Arial" w:cs="Arial"/>
          <w:sz w:val="22"/>
          <w:szCs w:val="22"/>
        </w:rPr>
        <w:t xml:space="preserve">zahrnutí </w:t>
      </w:r>
      <w:r w:rsidR="00694BED" w:rsidRPr="000A2AB3">
        <w:rPr>
          <w:rFonts w:ascii="Arial" w:hAnsi="Arial" w:cs="Arial"/>
          <w:sz w:val="22"/>
          <w:szCs w:val="22"/>
        </w:rPr>
        <w:t>chl</w:t>
      </w:r>
      <w:r w:rsidRPr="000A2AB3">
        <w:rPr>
          <w:rFonts w:ascii="Arial" w:hAnsi="Arial" w:cs="Arial"/>
          <w:sz w:val="22"/>
          <w:szCs w:val="22"/>
        </w:rPr>
        <w:t>e</w:t>
      </w:r>
      <w:r w:rsidR="00694BED" w:rsidRPr="000A2AB3">
        <w:rPr>
          <w:rFonts w:ascii="Arial" w:hAnsi="Arial" w:cs="Arial"/>
          <w:sz w:val="22"/>
          <w:szCs w:val="22"/>
        </w:rPr>
        <w:t>b</w:t>
      </w:r>
      <w:r w:rsidRPr="000A2AB3">
        <w:rPr>
          <w:rFonts w:ascii="Arial" w:hAnsi="Arial" w:cs="Arial"/>
          <w:sz w:val="22"/>
          <w:szCs w:val="22"/>
        </w:rPr>
        <w:t>a</w:t>
      </w:r>
      <w:r w:rsidR="00694BED" w:rsidRPr="000A2AB3">
        <w:rPr>
          <w:rFonts w:ascii="Arial" w:hAnsi="Arial" w:cs="Arial"/>
          <w:sz w:val="22"/>
          <w:szCs w:val="22"/>
        </w:rPr>
        <w:t xml:space="preserve"> a celozrnné</w:t>
      </w:r>
      <w:r w:rsidRPr="000A2AB3">
        <w:rPr>
          <w:rFonts w:ascii="Arial" w:hAnsi="Arial" w:cs="Arial"/>
          <w:sz w:val="22"/>
          <w:szCs w:val="22"/>
        </w:rPr>
        <w:t>ho</w:t>
      </w:r>
      <w:r w:rsidR="00694BED" w:rsidRPr="000A2AB3">
        <w:rPr>
          <w:rFonts w:ascii="Arial" w:hAnsi="Arial" w:cs="Arial"/>
          <w:sz w:val="22"/>
          <w:szCs w:val="22"/>
        </w:rPr>
        <w:t xml:space="preserve"> pečiv</w:t>
      </w:r>
      <w:r w:rsidRPr="000A2AB3">
        <w:rPr>
          <w:rFonts w:ascii="Arial" w:hAnsi="Arial" w:cs="Arial"/>
          <w:sz w:val="22"/>
          <w:szCs w:val="22"/>
        </w:rPr>
        <w:t>a</w:t>
      </w:r>
    </w:p>
    <w:p w:rsidR="00694BED" w:rsidRPr="000A2AB3" w:rsidRDefault="00694BED" w:rsidP="00F27EE7">
      <w:pPr>
        <w:pStyle w:val="Odstavecseseznamem"/>
        <w:numPr>
          <w:ilvl w:val="0"/>
          <w:numId w:val="14"/>
        </w:numPr>
        <w:contextualSpacing/>
        <w:jc w:val="both"/>
        <w:rPr>
          <w:rFonts w:ascii="Arial" w:hAnsi="Arial" w:cs="Arial"/>
          <w:sz w:val="22"/>
          <w:szCs w:val="22"/>
        </w:rPr>
      </w:pPr>
      <w:r w:rsidRPr="000A2AB3">
        <w:rPr>
          <w:rFonts w:ascii="Arial" w:hAnsi="Arial" w:cs="Arial"/>
          <w:sz w:val="22"/>
          <w:szCs w:val="22"/>
        </w:rPr>
        <w:t>nepoužívání vývaru z uzeného masa</w:t>
      </w:r>
    </w:p>
    <w:p w:rsidR="00694BED" w:rsidRPr="000A2AB3" w:rsidRDefault="00694BED" w:rsidP="00F27EE7">
      <w:pPr>
        <w:pStyle w:val="Odstavecseseznamem"/>
        <w:numPr>
          <w:ilvl w:val="0"/>
          <w:numId w:val="14"/>
        </w:numPr>
        <w:contextualSpacing/>
        <w:jc w:val="both"/>
        <w:rPr>
          <w:rFonts w:ascii="Arial" w:hAnsi="Arial" w:cs="Arial"/>
          <w:sz w:val="22"/>
          <w:szCs w:val="22"/>
        </w:rPr>
      </w:pPr>
      <w:r w:rsidRPr="000A2AB3">
        <w:rPr>
          <w:rFonts w:ascii="Arial" w:hAnsi="Arial" w:cs="Arial"/>
          <w:sz w:val="22"/>
          <w:szCs w:val="22"/>
        </w:rPr>
        <w:t>přednost</w:t>
      </w:r>
      <w:r w:rsidR="006A2BE4" w:rsidRPr="000A2AB3">
        <w:rPr>
          <w:rFonts w:ascii="Arial" w:hAnsi="Arial" w:cs="Arial"/>
          <w:sz w:val="22"/>
          <w:szCs w:val="22"/>
        </w:rPr>
        <w:t>ní zařazování</w:t>
      </w:r>
      <w:r w:rsidRPr="000A2AB3">
        <w:rPr>
          <w:rFonts w:ascii="Arial" w:hAnsi="Arial" w:cs="Arial"/>
          <w:sz w:val="22"/>
          <w:szCs w:val="22"/>
        </w:rPr>
        <w:t xml:space="preserve"> zeleninových polévek, zařazování polévek z luštěnin</w:t>
      </w:r>
    </w:p>
    <w:p w:rsidR="00694BED" w:rsidRPr="000A2AB3" w:rsidRDefault="00694BED" w:rsidP="00F27EE7">
      <w:pPr>
        <w:pStyle w:val="Odstavecseseznamem"/>
        <w:numPr>
          <w:ilvl w:val="0"/>
          <w:numId w:val="14"/>
        </w:numPr>
        <w:contextualSpacing/>
        <w:jc w:val="both"/>
        <w:rPr>
          <w:rFonts w:ascii="Arial" w:hAnsi="Arial" w:cs="Arial"/>
          <w:sz w:val="22"/>
          <w:szCs w:val="22"/>
        </w:rPr>
      </w:pPr>
      <w:r w:rsidRPr="000A2AB3">
        <w:rPr>
          <w:rFonts w:ascii="Arial" w:hAnsi="Arial" w:cs="Arial"/>
          <w:sz w:val="22"/>
          <w:szCs w:val="22"/>
        </w:rPr>
        <w:t>střídání technologické úpravy mas</w:t>
      </w:r>
    </w:p>
    <w:p w:rsidR="00694BED" w:rsidRPr="000A2AB3" w:rsidRDefault="00694BED" w:rsidP="00F27EE7">
      <w:pPr>
        <w:pStyle w:val="Odstavecseseznamem"/>
        <w:numPr>
          <w:ilvl w:val="0"/>
          <w:numId w:val="14"/>
        </w:numPr>
        <w:contextualSpacing/>
        <w:jc w:val="both"/>
        <w:rPr>
          <w:rFonts w:ascii="Arial" w:hAnsi="Arial" w:cs="Arial"/>
          <w:sz w:val="22"/>
          <w:szCs w:val="22"/>
        </w:rPr>
      </w:pPr>
      <w:r w:rsidRPr="000A2AB3">
        <w:rPr>
          <w:rFonts w:ascii="Arial" w:hAnsi="Arial" w:cs="Arial"/>
          <w:sz w:val="22"/>
          <w:szCs w:val="22"/>
        </w:rPr>
        <w:t>převažování netučných druhů mas a masných výrobků</w:t>
      </w:r>
    </w:p>
    <w:p w:rsidR="00694BED" w:rsidRPr="000A2AB3" w:rsidRDefault="00694BED" w:rsidP="00F27EE7">
      <w:pPr>
        <w:pStyle w:val="Odstavecseseznamem"/>
        <w:numPr>
          <w:ilvl w:val="0"/>
          <w:numId w:val="14"/>
        </w:numPr>
        <w:contextualSpacing/>
        <w:jc w:val="both"/>
        <w:rPr>
          <w:rFonts w:ascii="Arial" w:hAnsi="Arial" w:cs="Arial"/>
          <w:sz w:val="22"/>
          <w:szCs w:val="22"/>
        </w:rPr>
      </w:pPr>
      <w:r w:rsidRPr="000A2AB3">
        <w:rPr>
          <w:rFonts w:ascii="Arial" w:hAnsi="Arial" w:cs="Arial"/>
          <w:sz w:val="22"/>
          <w:szCs w:val="22"/>
        </w:rPr>
        <w:t>minimální používání uzenin</w:t>
      </w:r>
    </w:p>
    <w:p w:rsidR="00694BED" w:rsidRPr="000A2AB3" w:rsidRDefault="00694BED" w:rsidP="00F27EE7">
      <w:pPr>
        <w:pStyle w:val="Odstavecseseznamem"/>
        <w:numPr>
          <w:ilvl w:val="0"/>
          <w:numId w:val="14"/>
        </w:numPr>
        <w:contextualSpacing/>
        <w:jc w:val="both"/>
        <w:rPr>
          <w:rFonts w:ascii="Arial" w:hAnsi="Arial" w:cs="Arial"/>
          <w:sz w:val="22"/>
          <w:szCs w:val="22"/>
        </w:rPr>
      </w:pPr>
      <w:r w:rsidRPr="000A2AB3">
        <w:rPr>
          <w:rFonts w:ascii="Arial" w:hAnsi="Arial" w:cs="Arial"/>
          <w:sz w:val="22"/>
          <w:szCs w:val="22"/>
        </w:rPr>
        <w:t>důraz na pestré ladění pokrmů během dne</w:t>
      </w:r>
    </w:p>
    <w:p w:rsidR="00694BED" w:rsidRPr="000A2AB3" w:rsidRDefault="00694BED" w:rsidP="00F27EE7">
      <w:pPr>
        <w:pStyle w:val="Odstavecseseznamem"/>
        <w:numPr>
          <w:ilvl w:val="0"/>
          <w:numId w:val="14"/>
        </w:numPr>
        <w:contextualSpacing/>
        <w:jc w:val="both"/>
        <w:rPr>
          <w:rFonts w:ascii="Arial" w:hAnsi="Arial" w:cs="Arial"/>
          <w:sz w:val="22"/>
          <w:szCs w:val="22"/>
        </w:rPr>
      </w:pPr>
      <w:r w:rsidRPr="000A2AB3">
        <w:rPr>
          <w:rFonts w:ascii="Arial" w:hAnsi="Arial" w:cs="Arial"/>
          <w:sz w:val="22"/>
          <w:szCs w:val="22"/>
        </w:rPr>
        <w:t>převažování bramborové, luštěninové a zeleninové</w:t>
      </w:r>
      <w:r w:rsidR="002A5444" w:rsidRPr="000A2AB3">
        <w:rPr>
          <w:rFonts w:ascii="Arial" w:hAnsi="Arial" w:cs="Arial"/>
          <w:sz w:val="22"/>
          <w:szCs w:val="22"/>
        </w:rPr>
        <w:t xml:space="preserve"> přílohy nad moučnými přílohami.</w:t>
      </w:r>
    </w:p>
    <w:p w:rsidR="00414413" w:rsidRPr="000A2AB3" w:rsidRDefault="00414413" w:rsidP="00F27EE7">
      <w:pPr>
        <w:pStyle w:val="Zhlav"/>
        <w:tabs>
          <w:tab w:val="clear" w:pos="4536"/>
          <w:tab w:val="clear" w:pos="9072"/>
        </w:tabs>
        <w:rPr>
          <w:rFonts w:cs="Arial"/>
          <w:szCs w:val="22"/>
        </w:rPr>
      </w:pPr>
      <w:r w:rsidRPr="000A2AB3">
        <w:rPr>
          <w:rFonts w:cs="Arial"/>
          <w:szCs w:val="22"/>
        </w:rPr>
        <w:t>Hodnocení pestrosti stravy bylo provedeno metodou bodového ohodnocení, jehož výsledkem je koeficient pestrosti. Pestrost stravy byla hodnocena v</w:t>
      </w:r>
      <w:r w:rsidR="00F27EE7" w:rsidRPr="000A2AB3">
        <w:rPr>
          <w:rFonts w:cs="Arial"/>
          <w:szCs w:val="22"/>
        </w:rPr>
        <w:t xml:space="preserve"> </w:t>
      </w:r>
      <w:r w:rsidRPr="000A2AB3">
        <w:rPr>
          <w:rFonts w:cs="Arial"/>
          <w:szCs w:val="22"/>
        </w:rPr>
        <w:t xml:space="preserve">dozorovaných zařízeních bodováním jídelníčku za 4 týdny. Pokrmy byly bodovány tak, že každý pokrm, který se poprvé objevil v jídelníčku, dostal bod. Objevil-li se pokrm podruhé nebo jen s nepatrnou obměnou, bod nedostal. Následně byly body sečteny a vyděleny počtem celkem vydaných pokrmů. </w:t>
      </w:r>
    </w:p>
    <w:p w:rsidR="00414413" w:rsidRPr="000A2AB3" w:rsidRDefault="00414413" w:rsidP="00F27EE7">
      <w:pPr>
        <w:rPr>
          <w:rFonts w:cs="Arial"/>
          <w:szCs w:val="22"/>
        </w:rPr>
      </w:pPr>
      <w:r w:rsidRPr="000A2AB3">
        <w:rPr>
          <w:rFonts w:cs="Arial"/>
          <w:szCs w:val="22"/>
        </w:rPr>
        <w:t xml:space="preserve">Zvlášť byly hodnoceny jednotlivé sestavy denních jídel (snídaně, přesnídávky, obědy, svačiny, večeře), u obědů bylo také provedeno samostatné zhodnocení polévek a hlavních chodů, a také byly hodnoceny případné výběry u obědů a večeří. </w:t>
      </w:r>
    </w:p>
    <w:p w:rsidR="00694BED" w:rsidRPr="000A2AB3" w:rsidRDefault="00694BED" w:rsidP="00F27EE7">
      <w:pPr>
        <w:tabs>
          <w:tab w:val="left" w:pos="5565"/>
        </w:tabs>
        <w:rPr>
          <w:rFonts w:cs="Arial"/>
          <w:szCs w:val="22"/>
        </w:rPr>
      </w:pPr>
    </w:p>
    <w:p w:rsidR="00F27EE7" w:rsidRPr="000A2AB3" w:rsidRDefault="00F27EE7" w:rsidP="006D708D">
      <w:pPr>
        <w:ind w:left="170"/>
        <w:rPr>
          <w:b/>
          <w:bCs/>
          <w:sz w:val="24"/>
        </w:rPr>
      </w:pPr>
    </w:p>
    <w:p w:rsidR="00694BED" w:rsidRPr="000A2AB3" w:rsidRDefault="004B5D46" w:rsidP="00414413">
      <w:pPr>
        <w:rPr>
          <w:b/>
          <w:bCs/>
          <w:szCs w:val="22"/>
        </w:rPr>
      </w:pPr>
      <w:r w:rsidRPr="000A2AB3">
        <w:rPr>
          <w:b/>
          <w:bCs/>
          <w:szCs w:val="22"/>
        </w:rPr>
        <w:t>Výsledky státního zdravotního dozoru</w:t>
      </w:r>
    </w:p>
    <w:p w:rsidR="00A66FA1" w:rsidRPr="000A2AB3" w:rsidRDefault="00A66FA1" w:rsidP="00A66FA1">
      <w:pPr>
        <w:pStyle w:val="Zkladntext2"/>
        <w:spacing w:line="240" w:lineRule="auto"/>
        <w:rPr>
          <w:rFonts w:cs="Arial"/>
          <w:szCs w:val="22"/>
        </w:rPr>
      </w:pPr>
      <w:r w:rsidRPr="000A2AB3">
        <w:rPr>
          <w:rFonts w:cs="Arial"/>
          <w:szCs w:val="22"/>
        </w:rPr>
        <w:t>V rámci cíleného SZD byl monitoring proveden celkem v</w:t>
      </w:r>
      <w:r w:rsidR="006A2BE4" w:rsidRPr="000A2AB3">
        <w:rPr>
          <w:rFonts w:cs="Arial"/>
          <w:szCs w:val="22"/>
        </w:rPr>
        <w:t xml:space="preserve"> 79</w:t>
      </w:r>
      <w:r w:rsidRPr="000A2AB3">
        <w:rPr>
          <w:rFonts w:cs="Arial"/>
          <w:szCs w:val="22"/>
        </w:rPr>
        <w:t xml:space="preserve"> zařízeních poskytujících </w:t>
      </w:r>
      <w:r w:rsidR="00125612" w:rsidRPr="000A2AB3">
        <w:rPr>
          <w:rFonts w:cs="Arial"/>
          <w:szCs w:val="22"/>
        </w:rPr>
        <w:t>stravovací služby, z toho bylo 46</w:t>
      </w:r>
      <w:r w:rsidRPr="000A2AB3">
        <w:rPr>
          <w:rFonts w:cs="Arial"/>
          <w:szCs w:val="22"/>
        </w:rPr>
        <w:t xml:space="preserve"> zařízení sociálních služeb a 33 zařízení zdravotnických. </w:t>
      </w:r>
      <w:r w:rsidRPr="002C23C6">
        <w:rPr>
          <w:rFonts w:cs="Arial"/>
          <w:szCs w:val="22"/>
        </w:rPr>
        <w:t xml:space="preserve">V případě sociálních služeb probíhal monitoring převážně v domovech pro seniory, v případě zdravotnických zařízení bylo šetření provedeno na vybraných odděleních zdravotnických zařízení, </w:t>
      </w:r>
      <w:r w:rsidR="002C23C6">
        <w:rPr>
          <w:rFonts w:cs="Arial"/>
          <w:szCs w:val="22"/>
        </w:rPr>
        <w:t xml:space="preserve">na </w:t>
      </w:r>
      <w:r w:rsidR="002B0534" w:rsidRPr="002C23C6">
        <w:rPr>
          <w:rFonts w:cs="Arial"/>
          <w:szCs w:val="22"/>
        </w:rPr>
        <w:t>porodnick</w:t>
      </w:r>
      <w:r w:rsidR="002C23C6">
        <w:rPr>
          <w:rFonts w:cs="Arial"/>
          <w:szCs w:val="22"/>
        </w:rPr>
        <w:t>ých odděleních</w:t>
      </w:r>
      <w:r w:rsidR="002B0534" w:rsidRPr="002C23C6">
        <w:rPr>
          <w:rFonts w:cs="Arial"/>
          <w:szCs w:val="22"/>
        </w:rPr>
        <w:t xml:space="preserve">, </w:t>
      </w:r>
      <w:r w:rsidRPr="002C23C6">
        <w:rPr>
          <w:rFonts w:cs="Arial"/>
          <w:szCs w:val="22"/>
        </w:rPr>
        <w:t>v</w:t>
      </w:r>
      <w:r w:rsidR="002C23C6">
        <w:rPr>
          <w:rFonts w:cs="Arial"/>
          <w:szCs w:val="22"/>
        </w:rPr>
        <w:t xml:space="preserve">e dvou </w:t>
      </w:r>
      <w:r w:rsidRPr="002C23C6">
        <w:rPr>
          <w:rFonts w:cs="Arial"/>
          <w:szCs w:val="22"/>
        </w:rPr>
        <w:t>případech se jednalo o léčebny dlouhodobě nemocných.</w:t>
      </w:r>
    </w:p>
    <w:p w:rsidR="004601E9" w:rsidRPr="000A2AB3" w:rsidRDefault="004601E9" w:rsidP="00A66FA1">
      <w:pPr>
        <w:pStyle w:val="Zkladntext2"/>
        <w:spacing w:line="240" w:lineRule="auto"/>
        <w:rPr>
          <w:rFonts w:cs="Arial"/>
          <w:szCs w:val="22"/>
        </w:rPr>
      </w:pPr>
      <w:r w:rsidRPr="000A2AB3">
        <w:rPr>
          <w:rFonts w:cs="Arial"/>
          <w:szCs w:val="22"/>
        </w:rPr>
        <w:t>K analýze základních výživových h</w:t>
      </w:r>
      <w:r w:rsidR="00181592" w:rsidRPr="000A2AB3">
        <w:rPr>
          <w:rFonts w:cs="Arial"/>
          <w:szCs w:val="22"/>
        </w:rPr>
        <w:t>odnot byly odebrány vzorky ve 3</w:t>
      </w:r>
      <w:r w:rsidR="002C23C6">
        <w:rPr>
          <w:rFonts w:cs="Arial"/>
          <w:szCs w:val="22"/>
        </w:rPr>
        <w:t>9</w:t>
      </w:r>
      <w:r w:rsidRPr="000A2AB3">
        <w:rPr>
          <w:rFonts w:cs="Arial"/>
          <w:szCs w:val="22"/>
        </w:rPr>
        <w:t xml:space="preserve"> zařízeních. Byly odebírány vzorky stravy v sedmidenním dopředu zvoleném </w:t>
      </w:r>
      <w:r w:rsidR="002C23C6">
        <w:rPr>
          <w:rFonts w:cs="Arial"/>
          <w:szCs w:val="22"/>
        </w:rPr>
        <w:t>časovém i</w:t>
      </w:r>
      <w:r w:rsidRPr="000A2AB3">
        <w:rPr>
          <w:rFonts w:cs="Arial"/>
          <w:szCs w:val="22"/>
        </w:rPr>
        <w:t>ntervalu poskytované každý den, které byly analyzovány jednotlivě. C</w:t>
      </w:r>
      <w:r w:rsidR="00181592" w:rsidRPr="000A2AB3">
        <w:rPr>
          <w:rFonts w:cs="Arial"/>
          <w:szCs w:val="22"/>
        </w:rPr>
        <w:t>elkový počet vzorků byl tedy 2</w:t>
      </w:r>
      <w:r w:rsidR="002C23C6">
        <w:rPr>
          <w:rFonts w:cs="Arial"/>
          <w:szCs w:val="22"/>
        </w:rPr>
        <w:t>80</w:t>
      </w:r>
      <w:r w:rsidRPr="000A2AB3">
        <w:rPr>
          <w:rFonts w:cs="Arial"/>
          <w:szCs w:val="22"/>
        </w:rPr>
        <w:t xml:space="preserve"> vzorků celodenní stravy. </w:t>
      </w:r>
      <w:r w:rsidR="002B0534" w:rsidRPr="000A2AB3">
        <w:rPr>
          <w:rFonts w:cs="Arial"/>
          <w:szCs w:val="22"/>
        </w:rPr>
        <w:t>1</w:t>
      </w:r>
      <w:r w:rsidR="002C23C6">
        <w:rPr>
          <w:rFonts w:cs="Arial"/>
          <w:szCs w:val="22"/>
        </w:rPr>
        <w:t>5</w:t>
      </w:r>
      <w:r w:rsidR="002B0534" w:rsidRPr="000A2AB3">
        <w:rPr>
          <w:rFonts w:cs="Arial"/>
          <w:szCs w:val="22"/>
        </w:rPr>
        <w:t xml:space="preserve">4 </w:t>
      </w:r>
      <w:r w:rsidRPr="000A2AB3">
        <w:rPr>
          <w:rFonts w:cs="Arial"/>
          <w:szCs w:val="22"/>
        </w:rPr>
        <w:t>vzorků bylo odebráno ve</w:t>
      </w:r>
      <w:r w:rsidR="002C23C6">
        <w:rPr>
          <w:rFonts w:cs="Arial"/>
          <w:szCs w:val="22"/>
        </w:rPr>
        <w:t xml:space="preserve"> 22</w:t>
      </w:r>
      <w:r w:rsidRPr="000A2AB3">
        <w:rPr>
          <w:rFonts w:cs="Arial"/>
          <w:szCs w:val="22"/>
        </w:rPr>
        <w:t xml:space="preserve"> </w:t>
      </w:r>
      <w:r w:rsidR="002B0534" w:rsidRPr="000A2AB3">
        <w:rPr>
          <w:rFonts w:cs="Arial"/>
          <w:szCs w:val="22"/>
        </w:rPr>
        <w:t>stravovacích zařízeních sociálních služeb a 1</w:t>
      </w:r>
      <w:r w:rsidR="00181592" w:rsidRPr="000A2AB3">
        <w:rPr>
          <w:rFonts w:cs="Arial"/>
          <w:szCs w:val="22"/>
        </w:rPr>
        <w:t>19</w:t>
      </w:r>
      <w:r w:rsidR="002B0534" w:rsidRPr="000A2AB3">
        <w:rPr>
          <w:rFonts w:cs="Arial"/>
          <w:szCs w:val="22"/>
        </w:rPr>
        <w:t xml:space="preserve"> vzorků bylo odebráno ve stravovacích službách </w:t>
      </w:r>
      <w:r w:rsidRPr="000A2AB3">
        <w:rPr>
          <w:rFonts w:cs="Arial"/>
          <w:szCs w:val="22"/>
        </w:rPr>
        <w:t>z</w:t>
      </w:r>
      <w:r w:rsidR="002B0534" w:rsidRPr="000A2AB3">
        <w:rPr>
          <w:rFonts w:cs="Arial"/>
          <w:szCs w:val="22"/>
        </w:rPr>
        <w:t>d</w:t>
      </w:r>
      <w:r w:rsidRPr="000A2AB3">
        <w:rPr>
          <w:rFonts w:cs="Arial"/>
          <w:szCs w:val="22"/>
        </w:rPr>
        <w:t>ra</w:t>
      </w:r>
      <w:r w:rsidR="002B0534" w:rsidRPr="000A2AB3">
        <w:rPr>
          <w:rFonts w:cs="Arial"/>
          <w:szCs w:val="22"/>
        </w:rPr>
        <w:t xml:space="preserve">votnických zařízení. </w:t>
      </w:r>
    </w:p>
    <w:p w:rsidR="00D30E54" w:rsidRPr="000A2AB3" w:rsidRDefault="00D30E54" w:rsidP="006D708D">
      <w:pPr>
        <w:ind w:left="170"/>
        <w:rPr>
          <w:b/>
          <w:bCs/>
          <w:sz w:val="24"/>
        </w:rPr>
      </w:pPr>
    </w:p>
    <w:p w:rsidR="003E5E51" w:rsidRPr="000A2AB3" w:rsidRDefault="00FD2403" w:rsidP="00FD2403">
      <w:pPr>
        <w:pStyle w:val="Odstavecseseznamem"/>
        <w:numPr>
          <w:ilvl w:val="0"/>
          <w:numId w:val="17"/>
        </w:numPr>
        <w:spacing w:line="260" w:lineRule="exact"/>
        <w:ind w:left="708"/>
        <w:jc w:val="both"/>
        <w:rPr>
          <w:rFonts w:ascii="Arial" w:hAnsi="Arial" w:cs="Arial"/>
          <w:sz w:val="22"/>
          <w:szCs w:val="22"/>
        </w:rPr>
      </w:pPr>
      <w:r w:rsidRPr="000A2AB3">
        <w:rPr>
          <w:rFonts w:ascii="Arial" w:hAnsi="Arial" w:cs="Arial"/>
          <w:b/>
          <w:bCs/>
          <w:sz w:val="22"/>
          <w:szCs w:val="22"/>
        </w:rPr>
        <w:t>Obecné informace</w:t>
      </w:r>
    </w:p>
    <w:p w:rsidR="00FD2403" w:rsidRPr="000A2AB3" w:rsidRDefault="00FD2403" w:rsidP="003E5E51">
      <w:pPr>
        <w:pStyle w:val="Odstavecseseznamem"/>
        <w:spacing w:line="260" w:lineRule="exact"/>
        <w:jc w:val="both"/>
        <w:rPr>
          <w:rFonts w:ascii="Arial" w:hAnsi="Arial" w:cs="Arial"/>
          <w:sz w:val="22"/>
          <w:szCs w:val="22"/>
        </w:rPr>
      </w:pPr>
      <w:r w:rsidRPr="000A2AB3">
        <w:rPr>
          <w:rFonts w:ascii="Arial" w:hAnsi="Arial" w:cs="Arial"/>
          <w:sz w:val="22"/>
          <w:szCs w:val="22"/>
        </w:rPr>
        <w:t xml:space="preserve">a1. charakteristika provozovny </w:t>
      </w:r>
    </w:p>
    <w:p w:rsidR="000B556E" w:rsidRPr="000A2AB3" w:rsidRDefault="003E5E51" w:rsidP="003E5E51">
      <w:pPr>
        <w:rPr>
          <w:rFonts w:cs="Arial"/>
          <w:szCs w:val="22"/>
        </w:rPr>
      </w:pPr>
      <w:r w:rsidRPr="000A2AB3">
        <w:rPr>
          <w:rFonts w:cs="Arial"/>
          <w:szCs w:val="22"/>
        </w:rPr>
        <w:t>V</w:t>
      </w:r>
      <w:r w:rsidR="00DD530A" w:rsidRPr="000A2AB3">
        <w:rPr>
          <w:rFonts w:cs="Arial"/>
          <w:szCs w:val="22"/>
        </w:rPr>
        <w:t>e všech sledovaných zařízeních probíh</w:t>
      </w:r>
      <w:r w:rsidRPr="000A2AB3">
        <w:rPr>
          <w:rFonts w:cs="Arial"/>
          <w:szCs w:val="22"/>
        </w:rPr>
        <w:t xml:space="preserve">ala </w:t>
      </w:r>
      <w:r w:rsidR="00DD530A" w:rsidRPr="000A2AB3">
        <w:rPr>
          <w:rFonts w:cs="Arial"/>
          <w:szCs w:val="22"/>
        </w:rPr>
        <w:t>vlastní příprava pokrmů</w:t>
      </w:r>
      <w:r w:rsidRPr="000A2AB3">
        <w:rPr>
          <w:rFonts w:cs="Arial"/>
          <w:szCs w:val="22"/>
        </w:rPr>
        <w:t>, v některých zařízeních byly připravovány pokrmy i pro cizí strávníky, včetně některých diet (např. bezlepková, nebo se sníženým obsahem tuků). V případě zařízení sociálních služeb se část připravených pokrmů distribuovala dále pacientům s pečovatelskou službou. P</w:t>
      </w:r>
      <w:r w:rsidR="00DD530A" w:rsidRPr="000A2AB3">
        <w:rPr>
          <w:rFonts w:cs="Arial"/>
          <w:szCs w:val="22"/>
        </w:rPr>
        <w:t xml:space="preserve">očet </w:t>
      </w:r>
      <w:r w:rsidRPr="000A2AB3">
        <w:rPr>
          <w:rFonts w:cs="Arial"/>
          <w:szCs w:val="22"/>
        </w:rPr>
        <w:t xml:space="preserve">připravovaných </w:t>
      </w:r>
      <w:r w:rsidR="00DD530A" w:rsidRPr="000A2AB3">
        <w:rPr>
          <w:rFonts w:cs="Arial"/>
          <w:szCs w:val="22"/>
        </w:rPr>
        <w:t xml:space="preserve">diet </w:t>
      </w:r>
      <w:r w:rsidRPr="000A2AB3">
        <w:rPr>
          <w:rFonts w:cs="Arial"/>
          <w:szCs w:val="22"/>
        </w:rPr>
        <w:t>je různý podle povahy zařízení a podle zdravotní indikace pacientů nebo klientů, průměrný počet se pohybuje v rozmezí 10 – 15, ve zdravotnických zařízeních je tento počet</w:t>
      </w:r>
      <w:r w:rsidR="007F3192">
        <w:rPr>
          <w:rFonts w:cs="Arial"/>
          <w:szCs w:val="22"/>
        </w:rPr>
        <w:t xml:space="preserve"> vyšší</w:t>
      </w:r>
      <w:r w:rsidRPr="000A2AB3">
        <w:rPr>
          <w:rFonts w:cs="Arial"/>
          <w:szCs w:val="22"/>
        </w:rPr>
        <w:t xml:space="preserve">, naopak v zařízeních sociálních služeb je počet připravovaných diet naopak nižší. Diety ve zdravotnických zařízeních určuje lékař ve spolupráci s nutričními terapeuty a ošetřujícím personálem, v případě sociálních zařízení hrají stále významnější roli nutriční terapeuti, kteří problematiku stravy konzultují s lékaři. </w:t>
      </w:r>
      <w:r w:rsidR="000B556E" w:rsidRPr="000A2AB3">
        <w:rPr>
          <w:rFonts w:cs="Arial"/>
          <w:szCs w:val="22"/>
        </w:rPr>
        <w:t xml:space="preserve"> </w:t>
      </w:r>
    </w:p>
    <w:p w:rsidR="00FD2403" w:rsidRPr="000A2AB3" w:rsidRDefault="00FD2403" w:rsidP="00FD2403">
      <w:pPr>
        <w:pStyle w:val="Nadpis7"/>
        <w:keepNext w:val="0"/>
        <w:spacing w:before="0"/>
        <w:ind w:left="709"/>
        <w:jc w:val="both"/>
        <w:rPr>
          <w:rFonts w:ascii="Arial" w:hAnsi="Arial" w:cs="Arial"/>
          <w:i w:val="0"/>
          <w:sz w:val="22"/>
          <w:szCs w:val="22"/>
        </w:rPr>
      </w:pPr>
      <w:r w:rsidRPr="000A2AB3">
        <w:rPr>
          <w:rFonts w:ascii="Arial" w:hAnsi="Arial" w:cs="Arial"/>
          <w:i w:val="0"/>
          <w:sz w:val="22"/>
          <w:szCs w:val="22"/>
        </w:rPr>
        <w:t xml:space="preserve">a2. rozsah celodenního stravování </w:t>
      </w:r>
    </w:p>
    <w:p w:rsidR="000B556E" w:rsidRPr="000A2AB3" w:rsidRDefault="002E3E8F" w:rsidP="002E3E8F">
      <w:pPr>
        <w:rPr>
          <w:rFonts w:cs="Arial"/>
          <w:szCs w:val="22"/>
        </w:rPr>
      </w:pPr>
      <w:r w:rsidRPr="000A2AB3">
        <w:rPr>
          <w:rFonts w:cs="Arial"/>
          <w:szCs w:val="22"/>
        </w:rPr>
        <w:t>V</w:t>
      </w:r>
      <w:r w:rsidR="00DD530A" w:rsidRPr="000A2AB3">
        <w:rPr>
          <w:rFonts w:cs="Arial"/>
          <w:szCs w:val="22"/>
        </w:rPr>
        <w:t>e všech zařízeních je podávána snídaně, polévka, hlavní jídlo a večeře (střídavě teplá nebo studená)</w:t>
      </w:r>
      <w:r w:rsidRPr="000A2AB3">
        <w:rPr>
          <w:rFonts w:cs="Arial"/>
          <w:szCs w:val="22"/>
        </w:rPr>
        <w:t xml:space="preserve">. V některých zařízeních je podávána pouze studená večeře, rovněž tak přesnídávky nebo odpolední svačiny nejsou poskytovány ve všech zařízeních. Druhé </w:t>
      </w:r>
      <w:r w:rsidR="00DD530A" w:rsidRPr="000A2AB3">
        <w:rPr>
          <w:rFonts w:cs="Arial"/>
          <w:szCs w:val="22"/>
        </w:rPr>
        <w:t>večeře jsou podávány ve všech zařízeních pouze u diabetiků</w:t>
      </w:r>
      <w:r w:rsidRPr="000A2AB3">
        <w:rPr>
          <w:rFonts w:cs="Arial"/>
          <w:szCs w:val="22"/>
        </w:rPr>
        <w:t xml:space="preserve">. V některých zařízeních je možnost přípravy vlastních nápojů </w:t>
      </w:r>
      <w:r w:rsidR="00DD530A" w:rsidRPr="000A2AB3">
        <w:rPr>
          <w:rFonts w:cs="Arial"/>
          <w:szCs w:val="22"/>
        </w:rPr>
        <w:t xml:space="preserve">v čajových kuchyňkách na odděleních, </w:t>
      </w:r>
      <w:r w:rsidRPr="000A2AB3">
        <w:rPr>
          <w:rFonts w:cs="Arial"/>
          <w:szCs w:val="22"/>
        </w:rPr>
        <w:t xml:space="preserve">možnost přípravy </w:t>
      </w:r>
      <w:r w:rsidR="00DD530A" w:rsidRPr="000A2AB3">
        <w:rPr>
          <w:rFonts w:cs="Arial"/>
          <w:szCs w:val="22"/>
        </w:rPr>
        <w:t xml:space="preserve">vlastních pokrmů </w:t>
      </w:r>
      <w:r w:rsidRPr="000A2AB3">
        <w:rPr>
          <w:rFonts w:cs="Arial"/>
          <w:szCs w:val="22"/>
        </w:rPr>
        <w:t xml:space="preserve">je ojedinělá. </w:t>
      </w:r>
      <w:r w:rsidR="000B556E" w:rsidRPr="000A2AB3">
        <w:rPr>
          <w:rFonts w:cs="Arial"/>
          <w:szCs w:val="22"/>
        </w:rPr>
        <w:t xml:space="preserve">  </w:t>
      </w:r>
    </w:p>
    <w:p w:rsidR="00FD2403" w:rsidRPr="000A2AB3" w:rsidRDefault="00FD2403" w:rsidP="00FD2403">
      <w:pPr>
        <w:ind w:firstLine="708"/>
        <w:rPr>
          <w:rFonts w:cs="Arial"/>
          <w:szCs w:val="22"/>
        </w:rPr>
      </w:pPr>
      <w:r w:rsidRPr="000A2AB3">
        <w:rPr>
          <w:rFonts w:cs="Arial"/>
          <w:szCs w:val="22"/>
        </w:rPr>
        <w:t xml:space="preserve">a3. způsob výdeje stravy </w:t>
      </w:r>
    </w:p>
    <w:p w:rsidR="002E3E8F" w:rsidRPr="000A2AB3" w:rsidRDefault="002E3E8F" w:rsidP="002E3E8F">
      <w:pPr>
        <w:rPr>
          <w:rFonts w:cs="Arial"/>
          <w:szCs w:val="22"/>
        </w:rPr>
      </w:pPr>
      <w:r w:rsidRPr="000A2AB3">
        <w:rPr>
          <w:rFonts w:cs="Arial"/>
          <w:szCs w:val="22"/>
        </w:rPr>
        <w:t>V případě mobilních klientů nebo pacientů jsou k dispozici jídelny, kde se pokrmy podávají, nebo v případě řady zařízení sociálních služeb jsou k dispozici po celý den zejména nápoje nebo i denní nabídka potravin. V případě imobilních klientů je strava rozvážena na pokoje, kdy je využíván zejména tabletový systém nebo se pokrmy roznáší na pokoje přímo na talířích zakrytých plastovým krytem. V naprosté většině jsou pokrmy připravovány ve vlastní kuchyni, ve zdravotnických zařízeních jsou pokrmy distribuovány z centrální kuchyně na jednotlivá oddělení.</w:t>
      </w:r>
    </w:p>
    <w:p w:rsidR="00DC73A2" w:rsidRPr="000A2AB3" w:rsidRDefault="00DC73A2" w:rsidP="00DC73A2">
      <w:pPr>
        <w:pStyle w:val="Import6"/>
        <w:tabs>
          <w:tab w:val="clear" w:pos="0"/>
          <w:tab w:val="clear" w:pos="163"/>
          <w:tab w:val="left" w:pos="708"/>
        </w:tabs>
        <w:ind w:left="0"/>
        <w:jc w:val="both"/>
        <w:rPr>
          <w:rFonts w:ascii="Arial" w:hAnsi="Arial" w:cs="Arial"/>
          <w:noProof w:val="0"/>
          <w:sz w:val="22"/>
          <w:szCs w:val="22"/>
        </w:rPr>
      </w:pPr>
    </w:p>
    <w:p w:rsidR="00DD530A" w:rsidRPr="000A2AB3" w:rsidRDefault="002E3E8F" w:rsidP="00FD2403">
      <w:pPr>
        <w:ind w:firstLine="708"/>
        <w:rPr>
          <w:rFonts w:cs="Arial"/>
          <w:szCs w:val="22"/>
        </w:rPr>
      </w:pPr>
      <w:r w:rsidRPr="000A2AB3">
        <w:rPr>
          <w:rFonts w:cs="Arial"/>
          <w:noProof/>
          <w:sz w:val="24"/>
        </w:rPr>
        <w:drawing>
          <wp:inline distT="0" distB="0" distL="0" distR="0" wp14:anchorId="68A188E1" wp14:editId="180D1B1C">
            <wp:extent cx="2384277" cy="1905712"/>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sys1.png"/>
                    <pic:cNvPicPr/>
                  </pic:nvPicPr>
                  <pic:blipFill>
                    <a:blip r:embed="rId12">
                      <a:extLst>
                        <a:ext uri="{28A0092B-C50C-407E-A947-70E740481C1C}">
                          <a14:useLocalDpi xmlns:a14="http://schemas.microsoft.com/office/drawing/2010/main" val="0"/>
                        </a:ext>
                      </a:extLst>
                    </a:blip>
                    <a:stretch>
                      <a:fillRect/>
                    </a:stretch>
                  </pic:blipFill>
                  <pic:spPr>
                    <a:xfrm>
                      <a:off x="0" y="0"/>
                      <a:ext cx="2383386" cy="1905000"/>
                    </a:xfrm>
                    <a:prstGeom prst="rect">
                      <a:avLst/>
                    </a:prstGeom>
                  </pic:spPr>
                </pic:pic>
              </a:graphicData>
            </a:graphic>
          </wp:inline>
        </w:drawing>
      </w:r>
      <w:r w:rsidR="009E4590" w:rsidRPr="000A2AB3">
        <w:rPr>
          <w:rFonts w:cs="Arial"/>
          <w:noProof/>
          <w:sz w:val="24"/>
        </w:rPr>
        <w:drawing>
          <wp:inline distT="0" distB="0" distL="0" distR="0" wp14:anchorId="49D5CA9A" wp14:editId="29CA5016">
            <wp:extent cx="2844173" cy="1905712"/>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sys2.png"/>
                    <pic:cNvPicPr/>
                  </pic:nvPicPr>
                  <pic:blipFill>
                    <a:blip r:embed="rId13">
                      <a:extLst>
                        <a:ext uri="{28A0092B-C50C-407E-A947-70E740481C1C}">
                          <a14:useLocalDpi xmlns:a14="http://schemas.microsoft.com/office/drawing/2010/main" val="0"/>
                        </a:ext>
                      </a:extLst>
                    </a:blip>
                    <a:stretch>
                      <a:fillRect/>
                    </a:stretch>
                  </pic:blipFill>
                  <pic:spPr>
                    <a:xfrm>
                      <a:off x="0" y="0"/>
                      <a:ext cx="2847975" cy="1908259"/>
                    </a:xfrm>
                    <a:prstGeom prst="rect">
                      <a:avLst/>
                    </a:prstGeom>
                  </pic:spPr>
                </pic:pic>
              </a:graphicData>
            </a:graphic>
          </wp:inline>
        </w:drawing>
      </w:r>
    </w:p>
    <w:p w:rsidR="002E3E8F" w:rsidRPr="000A2AB3" w:rsidRDefault="002E3E8F" w:rsidP="00FD2403">
      <w:pPr>
        <w:ind w:firstLine="708"/>
        <w:rPr>
          <w:rFonts w:cs="Arial"/>
          <w:szCs w:val="22"/>
        </w:rPr>
      </w:pPr>
    </w:p>
    <w:p w:rsidR="002E3E8F" w:rsidRPr="000A2AB3" w:rsidRDefault="00FD2403" w:rsidP="002E3E8F">
      <w:pPr>
        <w:ind w:firstLine="708"/>
        <w:rPr>
          <w:rFonts w:cs="Arial"/>
          <w:szCs w:val="22"/>
        </w:rPr>
      </w:pPr>
      <w:r w:rsidRPr="000A2AB3">
        <w:rPr>
          <w:rFonts w:cs="Arial"/>
          <w:szCs w:val="22"/>
        </w:rPr>
        <w:t>a4. původ surovin pro přípravu pokrmů a dodávky potravin</w:t>
      </w:r>
    </w:p>
    <w:p w:rsidR="00EE43FF" w:rsidRPr="000A2AB3" w:rsidRDefault="002E3E8F" w:rsidP="00E00085">
      <w:pPr>
        <w:rPr>
          <w:rFonts w:cs="Arial"/>
          <w:szCs w:val="22"/>
        </w:rPr>
      </w:pPr>
      <w:r w:rsidRPr="000A2AB3">
        <w:rPr>
          <w:rFonts w:cs="Arial"/>
          <w:szCs w:val="22"/>
        </w:rPr>
        <w:t xml:space="preserve">Pokrmy jsou připravovány většinou z čerstvých surovin, ale jsou také využívány některé polotovary, dále konzervovaná ovoce a zelenina, mražené potraviny. Potraviny pro přípravu pokrmů jsou nakupovány převážně od výrobců, nebo ve velkoobchodní síti, ale také v běžné obchodní síti, i když tento nákup není příliš častý. Byl zaznamenán také nákup potravin od regionálních producentů, a to zejména </w:t>
      </w:r>
      <w:r w:rsidR="00E00085" w:rsidRPr="000A2AB3">
        <w:rPr>
          <w:rFonts w:cs="Arial"/>
          <w:szCs w:val="22"/>
        </w:rPr>
        <w:t>v</w:t>
      </w:r>
      <w:r w:rsidRPr="000A2AB3">
        <w:rPr>
          <w:rFonts w:cs="Arial"/>
          <w:szCs w:val="22"/>
        </w:rPr>
        <w:t xml:space="preserve"> případě sociálních zařízení.</w:t>
      </w:r>
      <w:r w:rsidR="00E00085" w:rsidRPr="000A2AB3">
        <w:rPr>
          <w:rFonts w:cs="Arial"/>
          <w:szCs w:val="22"/>
        </w:rPr>
        <w:t xml:space="preserve"> Dodávky od regionálních výrobců jsou využívány hlavně při nákupu mléka a mléčných výrobků, masa a pečiva. Případný nákup hotových pokrmů byl zaznamenán ojediněle, jednalo se zejména o některé</w:t>
      </w:r>
      <w:r w:rsidR="00EE43FF" w:rsidRPr="000A2AB3">
        <w:rPr>
          <w:rFonts w:cs="Arial"/>
          <w:szCs w:val="22"/>
        </w:rPr>
        <w:t xml:space="preserve"> saláty, pomazánky, bramborové, houskové a ovocné knedlíky, bramborové šišky</w:t>
      </w:r>
      <w:r w:rsidR="00E00085" w:rsidRPr="000A2AB3">
        <w:rPr>
          <w:rFonts w:cs="Arial"/>
          <w:szCs w:val="22"/>
        </w:rPr>
        <w:t xml:space="preserve">. </w:t>
      </w:r>
    </w:p>
    <w:p w:rsidR="00FD2403" w:rsidRPr="000A2AB3" w:rsidRDefault="00FD2403" w:rsidP="00FD2403">
      <w:pPr>
        <w:pStyle w:val="Odstavecseseznamem"/>
        <w:spacing w:line="300" w:lineRule="exact"/>
        <w:jc w:val="both"/>
        <w:rPr>
          <w:rFonts w:ascii="Arial" w:hAnsi="Arial" w:cs="Arial"/>
          <w:sz w:val="22"/>
          <w:szCs w:val="22"/>
        </w:rPr>
      </w:pPr>
      <w:r w:rsidRPr="000A2AB3">
        <w:rPr>
          <w:rFonts w:ascii="Arial" w:hAnsi="Arial" w:cs="Arial"/>
          <w:sz w:val="22"/>
          <w:szCs w:val="22"/>
        </w:rPr>
        <w:t xml:space="preserve">a5. informace o sestavování jídelníčků </w:t>
      </w:r>
    </w:p>
    <w:p w:rsidR="000B556E" w:rsidRPr="000A2AB3" w:rsidRDefault="00E00085" w:rsidP="00857CC4">
      <w:pPr>
        <w:rPr>
          <w:rFonts w:cs="Arial"/>
          <w:szCs w:val="22"/>
        </w:rPr>
      </w:pPr>
      <w:r w:rsidRPr="000A2AB3">
        <w:rPr>
          <w:rFonts w:cs="Arial"/>
          <w:szCs w:val="22"/>
        </w:rPr>
        <w:t>J</w:t>
      </w:r>
      <w:r w:rsidR="00EE43FF" w:rsidRPr="000A2AB3">
        <w:rPr>
          <w:rFonts w:cs="Arial"/>
          <w:szCs w:val="22"/>
        </w:rPr>
        <w:t>ídelníčky sestavují vedoucí stravovacího provozu, popřípadě kuchařka (konzultace s lékařem či vrchní sestrou), dietní sestry, nutriční terapeutky</w:t>
      </w:r>
      <w:r w:rsidRPr="000A2AB3">
        <w:rPr>
          <w:rFonts w:cs="Arial"/>
          <w:szCs w:val="22"/>
        </w:rPr>
        <w:t xml:space="preserve">. K jídelníčkům se podle potřeby vyjadřují lékaři, ale také i v případě zařízení sociálních služeb také vybrané skupiny klientů. Zdroje jsou různorodé, např. </w:t>
      </w:r>
      <w:r w:rsidR="00553DF1" w:rsidRPr="000A2AB3">
        <w:rPr>
          <w:rFonts w:cs="Arial"/>
          <w:szCs w:val="22"/>
        </w:rPr>
        <w:t xml:space="preserve">Dietní systém (Přemysl Doberský a kolektiv), </w:t>
      </w:r>
      <w:r w:rsidR="00EE43FF" w:rsidRPr="000A2AB3">
        <w:rPr>
          <w:rFonts w:cs="Arial"/>
          <w:szCs w:val="22"/>
        </w:rPr>
        <w:t>Receptury teplých pokrmů (Jaroslav Runštuk), vlastní receptury (elektronická evidence), receptury z internetu, knih, časopisů, návrhy stravovací komise, program Gurmet, čerpání ze svých znalostí</w:t>
      </w:r>
      <w:r w:rsidR="00553DF1" w:rsidRPr="000A2AB3">
        <w:rPr>
          <w:rFonts w:cs="Arial"/>
          <w:szCs w:val="22"/>
        </w:rPr>
        <w:t xml:space="preserve">. K sestavování jsou používány různé počítačové programy, ale není to obecné pravidlo. </w:t>
      </w:r>
      <w:r w:rsidR="00857CC4" w:rsidRPr="000A2AB3">
        <w:rPr>
          <w:rFonts w:cs="Arial"/>
          <w:szCs w:val="22"/>
        </w:rPr>
        <w:t xml:space="preserve">V ojedinělých případech je sestavování jídelníčků prováděno na „objednávku“ externí firmou. </w:t>
      </w:r>
    </w:p>
    <w:p w:rsidR="00DD530A" w:rsidRPr="000A2AB3" w:rsidRDefault="00FD2403" w:rsidP="00FD2403">
      <w:pPr>
        <w:pStyle w:val="Odstavecseseznamem"/>
        <w:jc w:val="both"/>
        <w:rPr>
          <w:rFonts w:ascii="Arial" w:hAnsi="Arial" w:cs="Arial"/>
          <w:sz w:val="22"/>
          <w:szCs w:val="22"/>
        </w:rPr>
      </w:pPr>
      <w:r w:rsidRPr="000A2AB3">
        <w:rPr>
          <w:rFonts w:ascii="Arial" w:hAnsi="Arial" w:cs="Arial"/>
          <w:sz w:val="22"/>
          <w:szCs w:val="22"/>
        </w:rPr>
        <w:t xml:space="preserve">a6. pitný režim a dostupnost nápojů </w:t>
      </w:r>
    </w:p>
    <w:p w:rsidR="00857CC4" w:rsidRPr="000A2AB3" w:rsidRDefault="00857CC4" w:rsidP="00857CC4">
      <w:pPr>
        <w:rPr>
          <w:rFonts w:cs="Arial"/>
          <w:szCs w:val="22"/>
        </w:rPr>
      </w:pPr>
      <w:r w:rsidRPr="000A2AB3">
        <w:rPr>
          <w:rFonts w:cs="Arial"/>
          <w:szCs w:val="22"/>
        </w:rPr>
        <w:t xml:space="preserve">Obecně platí, že nápoje jsou dostupné pro klienty zařízení stravovacích služeb, tak i pro zdravotnická zařízení, celodenně, nejčastěji se jedná o čaj neslazený nebo slazený, a pitnou vodu. V případě slazených nápojů se jedná nejčastěji o nápoje slazené umělými sladidly. Minerální vody balené nebo pramenité vody balené jsou k dispozici výjimečně. Ovocné nebo zeleninové šťávy jsou podávány jen ojediněle, mléko a mléčné nápoje (kakao, malcao, bílá káva) jsou podávány ve většině zařízení pravidelně. Téměř ve všech zařízeních jsou k dispozici nápojové automaty s obvyklou nabídkou nápojů. V některých zařízeních sociálních služeb si mohou klienti nápoje sami připravovat. </w:t>
      </w:r>
    </w:p>
    <w:p w:rsidR="00FD2403" w:rsidRPr="000A2AB3" w:rsidRDefault="00FD2403" w:rsidP="00FD2403">
      <w:pPr>
        <w:pStyle w:val="Odstavecseseznamem"/>
        <w:jc w:val="both"/>
        <w:rPr>
          <w:rFonts w:ascii="Arial" w:hAnsi="Arial" w:cs="Arial"/>
          <w:sz w:val="22"/>
          <w:szCs w:val="22"/>
        </w:rPr>
      </w:pPr>
      <w:r w:rsidRPr="000A2AB3">
        <w:rPr>
          <w:rFonts w:ascii="Arial" w:hAnsi="Arial" w:cs="Arial"/>
          <w:sz w:val="22"/>
          <w:szCs w:val="22"/>
        </w:rPr>
        <w:t>a7. forma podávání potravin a pokrmů</w:t>
      </w:r>
    </w:p>
    <w:p w:rsidR="00857CC4" w:rsidRPr="000A2AB3" w:rsidRDefault="00857CC4" w:rsidP="00857CC4">
      <w:pPr>
        <w:rPr>
          <w:rFonts w:cs="Arial"/>
          <w:szCs w:val="22"/>
        </w:rPr>
      </w:pPr>
      <w:r w:rsidRPr="000A2AB3">
        <w:rPr>
          <w:rFonts w:cs="Arial"/>
          <w:szCs w:val="22"/>
        </w:rPr>
        <w:t xml:space="preserve">Připravovány jsou teplé pokrmy, studené pokrmy, podáváno je celé ovoce a zeleniny nebo upravené krájením nebo strouháním, nebo ve formě salátů. Pro klienty je k dispozici také strava mechanicky upravená v návaznosti na jejich stav, např. mělněná, mixovaná. V návaznosti na zdravotní stav pacientů a klientů jsou krmeni, strava je podávána sondou, strava je doplňována umělou výživou, zejména podávání nutridrinků, nebo bílkovinových nápojů. </w:t>
      </w:r>
    </w:p>
    <w:p w:rsidR="00FD2403" w:rsidRPr="000A2AB3" w:rsidRDefault="00FD2403" w:rsidP="00FD2403">
      <w:pPr>
        <w:pStyle w:val="Odstavecseseznamem"/>
        <w:spacing w:line="300" w:lineRule="exact"/>
        <w:jc w:val="both"/>
        <w:rPr>
          <w:rFonts w:ascii="Arial" w:hAnsi="Arial" w:cs="Arial"/>
          <w:sz w:val="22"/>
          <w:szCs w:val="22"/>
        </w:rPr>
      </w:pPr>
      <w:r w:rsidRPr="000A2AB3">
        <w:rPr>
          <w:rFonts w:ascii="Arial" w:hAnsi="Arial" w:cs="Arial"/>
          <w:sz w:val="22"/>
          <w:szCs w:val="22"/>
        </w:rPr>
        <w:t>a8. sledování příjmu stravy a prevence malnutrice</w:t>
      </w:r>
    </w:p>
    <w:p w:rsidR="009E4590" w:rsidRPr="000A2AB3" w:rsidRDefault="00857CC4" w:rsidP="009E4590">
      <w:pPr>
        <w:pStyle w:val="Import6"/>
        <w:tabs>
          <w:tab w:val="clear" w:pos="0"/>
          <w:tab w:val="clear" w:pos="163"/>
          <w:tab w:val="left" w:pos="708"/>
        </w:tabs>
        <w:ind w:left="0"/>
        <w:jc w:val="both"/>
        <w:rPr>
          <w:rFonts w:ascii="Arial" w:hAnsi="Arial" w:cs="Arial"/>
          <w:noProof w:val="0"/>
          <w:sz w:val="22"/>
          <w:szCs w:val="22"/>
        </w:rPr>
      </w:pPr>
      <w:r w:rsidRPr="000A2AB3">
        <w:rPr>
          <w:rFonts w:ascii="Arial" w:hAnsi="Arial" w:cs="Arial"/>
          <w:noProof w:val="0"/>
          <w:sz w:val="22"/>
          <w:szCs w:val="22"/>
        </w:rPr>
        <w:t xml:space="preserve">Obecně se dá konstatovat, že ve všech monitorovaných zařízeních je zajištěno trvalé sledování nutričního stavu pacientů nebo klientů. </w:t>
      </w:r>
      <w:r w:rsidR="009E4590" w:rsidRPr="000A2AB3">
        <w:rPr>
          <w:rFonts w:ascii="Arial" w:hAnsi="Arial" w:cs="Arial"/>
          <w:noProof w:val="0"/>
          <w:sz w:val="22"/>
          <w:szCs w:val="22"/>
        </w:rPr>
        <w:t>Z</w:t>
      </w:r>
      <w:r w:rsidRPr="000A2AB3">
        <w:rPr>
          <w:rFonts w:ascii="Arial" w:hAnsi="Arial" w:cs="Arial"/>
          <w:noProof w:val="0"/>
          <w:sz w:val="22"/>
          <w:szCs w:val="22"/>
        </w:rPr>
        <w:t xml:space="preserve">áznamy jsou součástí zdravotnické dokumentace vedené o jednotlivých pacientech. </w:t>
      </w:r>
      <w:r w:rsidR="009E4590" w:rsidRPr="000A2AB3">
        <w:rPr>
          <w:rFonts w:ascii="Arial" w:hAnsi="Arial" w:cs="Arial"/>
          <w:noProof w:val="0"/>
          <w:sz w:val="22"/>
          <w:szCs w:val="22"/>
        </w:rPr>
        <w:t>Způsoby sledování jsou různé, ale v principu ve všech monitorovaných zařízeních jsou k dispozici pracovní postupy pro sledování nutričního stavu a je realizován nutriční screening. V domovech seniorů bylo zaznamenáno u ležících pacientů sledování denní bilance tekutin a stravy pomocí denního záznamového listu pro eliminaci možnosti vzniku podvýživy. V případě, že klient odmítá běžnou stravu je jeho stav konzultován s lékařem a jsou zařazeny náhradní způsoby výživy, včetně nutričních nápojů, apod. Malnutrice nebyla v žádném z monitorových zařízení sociálních služeb zaznamenána. Ve zdravotnických zařízeních jsou u pacientů dlouhodobě ležících prováděna vyšetření, která by signalizovala problémy ve výživě. Podávání stravy je součástí léčby pacientů a pacienti jsou sledováni z pohledu zdravotního stavu.</w:t>
      </w:r>
    </w:p>
    <w:p w:rsidR="009E4590" w:rsidRPr="000A2AB3" w:rsidRDefault="009E4590" w:rsidP="009E4590">
      <w:pPr>
        <w:tabs>
          <w:tab w:val="left" w:pos="7768"/>
        </w:tabs>
        <w:rPr>
          <w:rFonts w:cs="Arial"/>
          <w:szCs w:val="22"/>
        </w:rPr>
      </w:pPr>
    </w:p>
    <w:p w:rsidR="00807D65" w:rsidRPr="000A2AB3" w:rsidRDefault="00807D65" w:rsidP="009E4590">
      <w:pPr>
        <w:tabs>
          <w:tab w:val="left" w:pos="7768"/>
        </w:tabs>
        <w:rPr>
          <w:rFonts w:cs="Arial"/>
          <w:szCs w:val="22"/>
        </w:rPr>
      </w:pPr>
    </w:p>
    <w:p w:rsidR="009E4590" w:rsidRPr="000A2AB3" w:rsidRDefault="00414413" w:rsidP="002666F1">
      <w:pPr>
        <w:pStyle w:val="Odstavecseseznamem"/>
        <w:numPr>
          <w:ilvl w:val="0"/>
          <w:numId w:val="17"/>
        </w:numPr>
        <w:rPr>
          <w:rFonts w:ascii="Arial" w:hAnsi="Arial" w:cs="Arial"/>
          <w:b/>
          <w:bCs/>
          <w:sz w:val="22"/>
          <w:szCs w:val="22"/>
        </w:rPr>
      </w:pPr>
      <w:r w:rsidRPr="000A2AB3">
        <w:rPr>
          <w:rFonts w:ascii="Arial" w:hAnsi="Arial" w:cs="Arial"/>
          <w:b/>
          <w:bCs/>
          <w:sz w:val="22"/>
          <w:szCs w:val="22"/>
        </w:rPr>
        <w:t>Hodnocení výživové hodnoty stravy</w:t>
      </w:r>
    </w:p>
    <w:p w:rsidR="00807D65" w:rsidRPr="000A2AB3" w:rsidRDefault="00807D65" w:rsidP="00807D65">
      <w:pPr>
        <w:rPr>
          <w:rFonts w:cs="Arial"/>
          <w:bCs/>
        </w:rPr>
      </w:pPr>
      <w:r w:rsidRPr="000A2AB3">
        <w:rPr>
          <w:rFonts w:cs="Arial"/>
          <w:szCs w:val="22"/>
        </w:rPr>
        <w:t xml:space="preserve">V rámci cíleného úkolu bylo odebráno 280 vzorků celodenní stravy odebrané ve 40 vybraných zařízeních sociálních služeb a zdravotnických zařízeních v době 1 týdne v průběhu měsíců říjen – listopad 2015. Analýzy byly provedeny v akreditovaných laboratořích a analyzovány byly základní živiny – energetická hodnota, sůl, vláknina, bílkoviny, tuky a sacharidy. Průměrné výživové hodnoty za období jednoho týdne jsou uvedeny v tabulkách č. 1 a 2. Hodnoty uvedené v tabulce </w:t>
      </w:r>
      <w:r w:rsidRPr="000A2AB3">
        <w:rPr>
          <w:rFonts w:cs="Arial"/>
          <w:bCs/>
        </w:rPr>
        <w:t xml:space="preserve">jsou průměrnými hodnotami laboratorního vyšetření bez započtení nejistoty, která se podle metody a laboratoře pohybovala od ±5% - ±15%. Každý celodenní vzorek poskytnuté stravy byl analyzován zvlášť, a z výsledků sedmi analýz byla vypočtena průměrná hodnota vybraných živin během jednoho týdne (pondělí – neděle) v době vzorkování. Součástí vzorku byly nápoje, pokud tyto nápoje byly součástí jídelníčku. </w:t>
      </w:r>
    </w:p>
    <w:p w:rsidR="00807D65" w:rsidRPr="000A2AB3" w:rsidRDefault="00807D65" w:rsidP="00807D65">
      <w:pPr>
        <w:rPr>
          <w:rFonts w:cs="Arial"/>
          <w:bCs/>
          <w:szCs w:val="22"/>
        </w:rPr>
      </w:pPr>
      <w:r w:rsidRPr="000A2AB3">
        <w:rPr>
          <w:rFonts w:cs="Arial"/>
          <w:szCs w:val="22"/>
        </w:rPr>
        <w:t xml:space="preserve">K porovnání zjištěných laboratorních hodnot byly použity referenční dávky uvedené v publikaci vydané Společností pro výživu - </w:t>
      </w:r>
      <w:r w:rsidRPr="000A2AB3">
        <w:rPr>
          <w:rFonts w:cs="Arial"/>
          <w:bCs/>
          <w:szCs w:val="22"/>
        </w:rPr>
        <w:t>Referenční hodnoty pro příjem živin, 1. vydání, 2011(DACH), pro snazší vyhodnocení a porovnání byly použity  referenčnídávk</w:t>
      </w:r>
      <w:r w:rsidR="00AF3E38">
        <w:rPr>
          <w:rFonts w:cs="Arial"/>
          <w:bCs/>
          <w:szCs w:val="22"/>
        </w:rPr>
        <w:t>y</w:t>
      </w:r>
      <w:r w:rsidRPr="000A2AB3">
        <w:rPr>
          <w:rFonts w:cs="Arial"/>
          <w:bCs/>
          <w:szCs w:val="22"/>
        </w:rPr>
        <w:t xml:space="preserve"> pro populační skupinu kojících žen a </w:t>
      </w:r>
      <w:r w:rsidR="007F3192">
        <w:rPr>
          <w:rFonts w:cs="Arial"/>
          <w:bCs/>
          <w:szCs w:val="22"/>
        </w:rPr>
        <w:t xml:space="preserve">referenční dávky pro populační skupinu </w:t>
      </w:r>
      <w:r w:rsidRPr="000A2AB3">
        <w:rPr>
          <w:rFonts w:cs="Arial"/>
          <w:bCs/>
          <w:szCs w:val="22"/>
        </w:rPr>
        <w:t>seniorů</w:t>
      </w:r>
      <w:r w:rsidR="00AF3E38">
        <w:rPr>
          <w:rFonts w:cs="Arial"/>
          <w:bCs/>
          <w:szCs w:val="22"/>
        </w:rPr>
        <w:t xml:space="preserve"> (nad 65 let věku)</w:t>
      </w:r>
      <w:r w:rsidRPr="000A2AB3">
        <w:rPr>
          <w:rFonts w:cs="Arial"/>
          <w:bCs/>
          <w:szCs w:val="22"/>
        </w:rPr>
        <w:t>.</w:t>
      </w:r>
    </w:p>
    <w:p w:rsidR="00807D65" w:rsidRPr="000A2AB3" w:rsidRDefault="00807D65" w:rsidP="00807D65">
      <w:pPr>
        <w:rPr>
          <w:rFonts w:cs="Arial"/>
          <w:bCs/>
        </w:rPr>
      </w:pPr>
    </w:p>
    <w:p w:rsidR="00B34FDC" w:rsidRPr="000A2AB3" w:rsidRDefault="00807D65" w:rsidP="00B34FDC">
      <w:pPr>
        <w:pStyle w:val="Odstavecseseznamem"/>
        <w:ind w:left="170"/>
        <w:rPr>
          <w:rFonts w:ascii="Arial" w:hAnsi="Arial" w:cs="Arial"/>
          <w:b/>
          <w:bCs/>
        </w:rPr>
      </w:pPr>
      <w:r w:rsidRPr="000A2AB3">
        <w:rPr>
          <w:noProof/>
          <w:color w:val="0000FF"/>
        </w:rPr>
        <w:drawing>
          <wp:inline distT="0" distB="0" distL="0" distR="0" wp14:anchorId="1C9545B2" wp14:editId="259F6BE6">
            <wp:extent cx="5757770" cy="1710813"/>
            <wp:effectExtent l="0" t="0" r="0" b="3810"/>
            <wp:docPr id="33" name="Obrázek 33" descr="http://thiemt.com/user_static/images/content/lab-equipment-672-0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iemt.com/user_static/images/content/lab-equipment-672-0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711690"/>
                    </a:xfrm>
                    <a:prstGeom prst="rect">
                      <a:avLst/>
                    </a:prstGeom>
                    <a:noFill/>
                    <a:ln>
                      <a:noFill/>
                    </a:ln>
                  </pic:spPr>
                </pic:pic>
              </a:graphicData>
            </a:graphic>
          </wp:inline>
        </w:drawing>
      </w:r>
    </w:p>
    <w:p w:rsidR="00022B26" w:rsidRDefault="00022B26" w:rsidP="004B0A70">
      <w:pPr>
        <w:ind w:left="-190"/>
        <w:rPr>
          <w:rFonts w:cs="Arial"/>
          <w:bCs/>
        </w:rPr>
      </w:pPr>
    </w:p>
    <w:p w:rsidR="004B0A70" w:rsidRPr="000A2AB3" w:rsidRDefault="00B34FDC" w:rsidP="004B0A70">
      <w:pPr>
        <w:ind w:left="-190"/>
        <w:rPr>
          <w:rFonts w:cs="Arial"/>
          <w:bCs/>
        </w:rPr>
      </w:pPr>
      <w:r w:rsidRPr="000A2AB3">
        <w:rPr>
          <w:rFonts w:cs="Arial"/>
          <w:bCs/>
        </w:rPr>
        <w:t xml:space="preserve">Tabulka </w:t>
      </w:r>
      <w:r w:rsidR="002D3B99" w:rsidRPr="000A2AB3">
        <w:rPr>
          <w:rFonts w:cs="Arial"/>
          <w:bCs/>
        </w:rPr>
        <w:t>1</w:t>
      </w:r>
      <w:r w:rsidRPr="000A2AB3">
        <w:rPr>
          <w:rFonts w:cs="Arial"/>
          <w:bCs/>
        </w:rPr>
        <w:t>: přehled výsledků zjištěných hodnot ve zdravotnických zařízeních</w:t>
      </w:r>
    </w:p>
    <w:tbl>
      <w:tblPr>
        <w:tblStyle w:val="Stednmka3zvraznn5"/>
        <w:tblW w:w="9313" w:type="dxa"/>
        <w:tblLook w:val="04A0" w:firstRow="1" w:lastRow="0" w:firstColumn="1" w:lastColumn="0" w:noHBand="0" w:noVBand="1"/>
      </w:tblPr>
      <w:tblGrid>
        <w:gridCol w:w="2008"/>
        <w:gridCol w:w="1531"/>
        <w:gridCol w:w="1027"/>
        <w:gridCol w:w="1097"/>
        <w:gridCol w:w="1170"/>
        <w:gridCol w:w="1236"/>
        <w:gridCol w:w="1244"/>
      </w:tblGrid>
      <w:tr w:rsidR="00651241" w:rsidRPr="000A2AB3" w:rsidTr="00670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651241" w:rsidRPr="000A2AB3" w:rsidRDefault="002C03B7" w:rsidP="004B0A70">
            <w:pPr>
              <w:rPr>
                <w:rFonts w:cs="Arial"/>
                <w:bCs w:val="0"/>
              </w:rPr>
            </w:pPr>
            <w:r w:rsidRPr="000A2AB3">
              <w:rPr>
                <w:rFonts w:cs="Arial"/>
                <w:b w:val="0"/>
                <w:bCs w:val="0"/>
              </w:rPr>
              <w:t>kraj</w:t>
            </w:r>
          </w:p>
        </w:tc>
        <w:tc>
          <w:tcPr>
            <w:tcW w:w="1531" w:type="dxa"/>
          </w:tcPr>
          <w:p w:rsidR="00651241" w:rsidRPr="000A2AB3" w:rsidRDefault="00651241"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energetická hodnota (kJ/den)</w:t>
            </w:r>
          </w:p>
        </w:tc>
        <w:tc>
          <w:tcPr>
            <w:tcW w:w="1027" w:type="dxa"/>
          </w:tcPr>
          <w:p w:rsidR="00651241" w:rsidRPr="000A2AB3" w:rsidRDefault="00651241"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sůl (g/den)</w:t>
            </w:r>
          </w:p>
        </w:tc>
        <w:tc>
          <w:tcPr>
            <w:tcW w:w="1097" w:type="dxa"/>
          </w:tcPr>
          <w:p w:rsidR="00651241" w:rsidRPr="000A2AB3" w:rsidRDefault="00651241"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vláknina (g/den)</w:t>
            </w:r>
          </w:p>
        </w:tc>
        <w:tc>
          <w:tcPr>
            <w:tcW w:w="1170" w:type="dxa"/>
          </w:tcPr>
          <w:p w:rsidR="00651241" w:rsidRPr="000A2AB3" w:rsidRDefault="00651241"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bílkoviny (g/den)</w:t>
            </w:r>
          </w:p>
        </w:tc>
        <w:tc>
          <w:tcPr>
            <w:tcW w:w="1236" w:type="dxa"/>
          </w:tcPr>
          <w:p w:rsidR="00651241" w:rsidRPr="000A2AB3" w:rsidRDefault="00651241"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tuky (g/den)</w:t>
            </w:r>
          </w:p>
        </w:tc>
        <w:tc>
          <w:tcPr>
            <w:tcW w:w="1244" w:type="dxa"/>
          </w:tcPr>
          <w:p w:rsidR="00651241" w:rsidRPr="000A2AB3" w:rsidRDefault="00651241"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sacharidy (g/den)</w:t>
            </w:r>
          </w:p>
        </w:tc>
      </w:tr>
      <w:tr w:rsidR="000A6993" w:rsidRPr="000A2AB3" w:rsidTr="00670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0A6993" w:rsidRPr="000A2AB3" w:rsidRDefault="000A6993" w:rsidP="004B0A70">
            <w:pPr>
              <w:rPr>
                <w:rFonts w:cs="Arial"/>
                <w:b w:val="0"/>
                <w:bCs w:val="0"/>
              </w:rPr>
            </w:pPr>
            <w:r w:rsidRPr="000A2AB3">
              <w:rPr>
                <w:rFonts w:cs="Arial"/>
                <w:b w:val="0"/>
                <w:bCs w:val="0"/>
              </w:rPr>
              <w:t>Karlovarský</w:t>
            </w:r>
          </w:p>
        </w:tc>
        <w:tc>
          <w:tcPr>
            <w:tcW w:w="1531" w:type="dxa"/>
          </w:tcPr>
          <w:p w:rsidR="000A6993" w:rsidRPr="000A2AB3" w:rsidRDefault="000A699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8909</w:t>
            </w:r>
          </w:p>
        </w:tc>
        <w:tc>
          <w:tcPr>
            <w:tcW w:w="1027" w:type="dxa"/>
          </w:tcPr>
          <w:p w:rsidR="000A6993" w:rsidRPr="000A2AB3" w:rsidRDefault="000A699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15,5</w:t>
            </w:r>
          </w:p>
        </w:tc>
        <w:tc>
          <w:tcPr>
            <w:tcW w:w="1097" w:type="dxa"/>
          </w:tcPr>
          <w:p w:rsidR="000A6993" w:rsidRPr="000A2AB3" w:rsidRDefault="000A699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26,8</w:t>
            </w:r>
          </w:p>
        </w:tc>
        <w:tc>
          <w:tcPr>
            <w:tcW w:w="1170" w:type="dxa"/>
          </w:tcPr>
          <w:p w:rsidR="000A6993" w:rsidRPr="000A2AB3" w:rsidRDefault="000A699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83,1</w:t>
            </w:r>
          </w:p>
        </w:tc>
        <w:tc>
          <w:tcPr>
            <w:tcW w:w="1236" w:type="dxa"/>
          </w:tcPr>
          <w:p w:rsidR="000A6993" w:rsidRPr="000A2AB3" w:rsidRDefault="000A699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76,1</w:t>
            </w:r>
          </w:p>
        </w:tc>
        <w:tc>
          <w:tcPr>
            <w:tcW w:w="1244"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262,8</w:t>
            </w:r>
          </w:p>
        </w:tc>
      </w:tr>
      <w:tr w:rsidR="00670578" w:rsidRPr="000A2AB3" w:rsidTr="00670578">
        <w:tc>
          <w:tcPr>
            <w:cnfStyle w:val="001000000000" w:firstRow="0" w:lastRow="0" w:firstColumn="1" w:lastColumn="0" w:oddVBand="0" w:evenVBand="0" w:oddHBand="0" w:evenHBand="0" w:firstRowFirstColumn="0" w:firstRowLastColumn="0" w:lastRowFirstColumn="0" w:lastRowLastColumn="0"/>
            <w:tcW w:w="2008" w:type="dxa"/>
            <w:vMerge w:val="restart"/>
          </w:tcPr>
          <w:p w:rsidR="00670578" w:rsidRPr="000A2AB3" w:rsidRDefault="00670578" w:rsidP="004B0A70">
            <w:pPr>
              <w:rPr>
                <w:rFonts w:cs="Arial"/>
                <w:b w:val="0"/>
                <w:bCs w:val="0"/>
              </w:rPr>
            </w:pPr>
            <w:r w:rsidRPr="000A2AB3">
              <w:rPr>
                <w:rFonts w:cs="Arial"/>
                <w:b w:val="0"/>
                <w:bCs w:val="0"/>
              </w:rPr>
              <w:t>Zlínský</w:t>
            </w:r>
          </w:p>
        </w:tc>
        <w:tc>
          <w:tcPr>
            <w:tcW w:w="1531"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7669</w:t>
            </w:r>
          </w:p>
        </w:tc>
        <w:tc>
          <w:tcPr>
            <w:tcW w:w="102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9,8</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29,9</w:t>
            </w:r>
          </w:p>
        </w:tc>
        <w:tc>
          <w:tcPr>
            <w:tcW w:w="1170"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76,3</w:t>
            </w:r>
          </w:p>
        </w:tc>
        <w:tc>
          <w:tcPr>
            <w:tcW w:w="1236"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46,7</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261,3</w:t>
            </w:r>
          </w:p>
        </w:tc>
      </w:tr>
      <w:tr w:rsidR="00670578" w:rsidRPr="000A2AB3" w:rsidTr="00670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Merge/>
          </w:tcPr>
          <w:p w:rsidR="00670578" w:rsidRPr="000A2AB3" w:rsidRDefault="00670578" w:rsidP="004B0A70">
            <w:pPr>
              <w:rPr>
                <w:rFonts w:cs="Arial"/>
                <w:b w:val="0"/>
                <w:bCs w:val="0"/>
              </w:rPr>
            </w:pPr>
          </w:p>
        </w:tc>
        <w:tc>
          <w:tcPr>
            <w:tcW w:w="1531"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12589</w:t>
            </w:r>
          </w:p>
        </w:tc>
        <w:tc>
          <w:tcPr>
            <w:tcW w:w="1027"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13,4</w:t>
            </w:r>
          </w:p>
        </w:tc>
        <w:tc>
          <w:tcPr>
            <w:tcW w:w="1097"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41,1</w:t>
            </w:r>
          </w:p>
        </w:tc>
        <w:tc>
          <w:tcPr>
            <w:tcW w:w="1170"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117,7</w:t>
            </w:r>
          </w:p>
        </w:tc>
        <w:tc>
          <w:tcPr>
            <w:tcW w:w="1236"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66,7</w:t>
            </w:r>
          </w:p>
        </w:tc>
        <w:tc>
          <w:tcPr>
            <w:tcW w:w="1244"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444,9</w:t>
            </w:r>
          </w:p>
        </w:tc>
      </w:tr>
      <w:tr w:rsidR="000A6993" w:rsidRPr="000A2AB3" w:rsidTr="00670578">
        <w:tc>
          <w:tcPr>
            <w:cnfStyle w:val="001000000000" w:firstRow="0" w:lastRow="0" w:firstColumn="1" w:lastColumn="0" w:oddVBand="0" w:evenVBand="0" w:oddHBand="0" w:evenHBand="0" w:firstRowFirstColumn="0" w:firstRowLastColumn="0" w:lastRowFirstColumn="0" w:lastRowLastColumn="0"/>
            <w:tcW w:w="2008" w:type="dxa"/>
          </w:tcPr>
          <w:p w:rsidR="000A6993" w:rsidRPr="000A2AB3" w:rsidRDefault="0008481C" w:rsidP="004B0A70">
            <w:pPr>
              <w:rPr>
                <w:rFonts w:cs="Arial"/>
                <w:b w:val="0"/>
                <w:bCs w:val="0"/>
              </w:rPr>
            </w:pPr>
            <w:r w:rsidRPr="000A2AB3">
              <w:rPr>
                <w:rFonts w:cs="Arial"/>
                <w:b w:val="0"/>
                <w:bCs w:val="0"/>
              </w:rPr>
              <w:t>Moravskoslezský</w:t>
            </w:r>
          </w:p>
        </w:tc>
        <w:tc>
          <w:tcPr>
            <w:tcW w:w="1531" w:type="dxa"/>
          </w:tcPr>
          <w:p w:rsidR="000A6993" w:rsidRPr="000A2AB3" w:rsidRDefault="0008481C"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7091</w:t>
            </w:r>
          </w:p>
        </w:tc>
        <w:tc>
          <w:tcPr>
            <w:tcW w:w="1027" w:type="dxa"/>
          </w:tcPr>
          <w:p w:rsidR="000A6993" w:rsidRPr="000A2AB3" w:rsidRDefault="0008481C"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8,4</w:t>
            </w:r>
          </w:p>
        </w:tc>
        <w:tc>
          <w:tcPr>
            <w:tcW w:w="1097" w:type="dxa"/>
          </w:tcPr>
          <w:p w:rsidR="000A6993" w:rsidRPr="000A2AB3" w:rsidRDefault="0008481C"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22,3</w:t>
            </w:r>
          </w:p>
        </w:tc>
        <w:tc>
          <w:tcPr>
            <w:tcW w:w="1170" w:type="dxa"/>
          </w:tcPr>
          <w:p w:rsidR="000A6993" w:rsidRPr="000A2AB3" w:rsidRDefault="0079077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61</w:t>
            </w:r>
            <w:r w:rsidR="0008481C" w:rsidRPr="000A2AB3">
              <w:rPr>
                <w:rFonts w:cs="Arial"/>
                <w:bCs/>
              </w:rPr>
              <w:t>,6</w:t>
            </w:r>
          </w:p>
        </w:tc>
        <w:tc>
          <w:tcPr>
            <w:tcW w:w="1236" w:type="dxa"/>
          </w:tcPr>
          <w:p w:rsidR="000A6993" w:rsidRPr="000A2AB3" w:rsidRDefault="0008481C"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55,2</w:t>
            </w:r>
          </w:p>
        </w:tc>
        <w:tc>
          <w:tcPr>
            <w:tcW w:w="1244" w:type="dxa"/>
          </w:tcPr>
          <w:p w:rsidR="000A6993" w:rsidRPr="000A2AB3" w:rsidRDefault="0008481C"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224,</w:t>
            </w:r>
            <w:r w:rsidR="00790777" w:rsidRPr="000A2AB3">
              <w:rPr>
                <w:rFonts w:cs="Arial"/>
                <w:bCs/>
              </w:rPr>
              <w:t>4</w:t>
            </w:r>
          </w:p>
        </w:tc>
      </w:tr>
      <w:tr w:rsidR="000A6993" w:rsidRPr="000A2AB3" w:rsidTr="00670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0A6993" w:rsidRPr="000A2AB3" w:rsidRDefault="0008481C" w:rsidP="004B0A70">
            <w:pPr>
              <w:rPr>
                <w:rFonts w:cs="Arial"/>
                <w:b w:val="0"/>
                <w:bCs w:val="0"/>
              </w:rPr>
            </w:pPr>
            <w:r w:rsidRPr="000A2AB3">
              <w:rPr>
                <w:rFonts w:cs="Arial"/>
                <w:b w:val="0"/>
                <w:bCs w:val="0"/>
              </w:rPr>
              <w:t>Vysočina</w:t>
            </w:r>
          </w:p>
        </w:tc>
        <w:tc>
          <w:tcPr>
            <w:tcW w:w="1531"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9572</w:t>
            </w:r>
          </w:p>
        </w:tc>
        <w:tc>
          <w:tcPr>
            <w:tcW w:w="1027"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9,0</w:t>
            </w:r>
          </w:p>
        </w:tc>
        <w:tc>
          <w:tcPr>
            <w:tcW w:w="1097"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28,1</w:t>
            </w:r>
          </w:p>
        </w:tc>
        <w:tc>
          <w:tcPr>
            <w:tcW w:w="1170"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85,0</w:t>
            </w:r>
          </w:p>
        </w:tc>
        <w:tc>
          <w:tcPr>
            <w:tcW w:w="1236"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69,7</w:t>
            </w:r>
          </w:p>
        </w:tc>
        <w:tc>
          <w:tcPr>
            <w:tcW w:w="1244"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307,8</w:t>
            </w:r>
          </w:p>
        </w:tc>
      </w:tr>
      <w:tr w:rsidR="000A6993" w:rsidRPr="000A2AB3" w:rsidTr="00670578">
        <w:tc>
          <w:tcPr>
            <w:cnfStyle w:val="001000000000" w:firstRow="0" w:lastRow="0" w:firstColumn="1" w:lastColumn="0" w:oddVBand="0" w:evenVBand="0" w:oddHBand="0" w:evenHBand="0" w:firstRowFirstColumn="0" w:firstRowLastColumn="0" w:lastRowFirstColumn="0" w:lastRowLastColumn="0"/>
            <w:tcW w:w="2008" w:type="dxa"/>
          </w:tcPr>
          <w:p w:rsidR="000A6993" w:rsidRPr="000A2AB3" w:rsidRDefault="0008481C" w:rsidP="004B0A70">
            <w:pPr>
              <w:rPr>
                <w:rFonts w:cs="Arial"/>
                <w:b w:val="0"/>
                <w:bCs w:val="0"/>
              </w:rPr>
            </w:pPr>
            <w:r w:rsidRPr="000A2AB3">
              <w:rPr>
                <w:rFonts w:cs="Arial"/>
                <w:b w:val="0"/>
                <w:bCs w:val="0"/>
              </w:rPr>
              <w:t>Olomoucký</w:t>
            </w:r>
          </w:p>
        </w:tc>
        <w:tc>
          <w:tcPr>
            <w:tcW w:w="1531" w:type="dxa"/>
          </w:tcPr>
          <w:p w:rsidR="000A6993" w:rsidRPr="000A2AB3" w:rsidRDefault="0079077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8637</w:t>
            </w:r>
          </w:p>
        </w:tc>
        <w:tc>
          <w:tcPr>
            <w:tcW w:w="1027" w:type="dxa"/>
          </w:tcPr>
          <w:p w:rsidR="000A6993" w:rsidRPr="000A2AB3" w:rsidRDefault="0079077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11,1</w:t>
            </w:r>
          </w:p>
        </w:tc>
        <w:tc>
          <w:tcPr>
            <w:tcW w:w="1097" w:type="dxa"/>
          </w:tcPr>
          <w:p w:rsidR="000A6993" w:rsidRPr="000A2AB3" w:rsidRDefault="0079077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25,5</w:t>
            </w:r>
          </w:p>
        </w:tc>
        <w:tc>
          <w:tcPr>
            <w:tcW w:w="1170" w:type="dxa"/>
          </w:tcPr>
          <w:p w:rsidR="000A6993" w:rsidRPr="000A2AB3" w:rsidRDefault="0079077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86,1</w:t>
            </w:r>
          </w:p>
        </w:tc>
        <w:tc>
          <w:tcPr>
            <w:tcW w:w="1236" w:type="dxa"/>
          </w:tcPr>
          <w:p w:rsidR="000A6993" w:rsidRPr="000A2AB3" w:rsidRDefault="0079077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53,5</w:t>
            </w:r>
          </w:p>
        </w:tc>
        <w:tc>
          <w:tcPr>
            <w:tcW w:w="1244" w:type="dxa"/>
          </w:tcPr>
          <w:p w:rsidR="000A6993" w:rsidRPr="000A2AB3" w:rsidRDefault="0079077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293,8</w:t>
            </w:r>
          </w:p>
        </w:tc>
      </w:tr>
      <w:tr w:rsidR="000A6993" w:rsidRPr="000A2AB3" w:rsidTr="00670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0A6993" w:rsidRPr="000A2AB3" w:rsidRDefault="0008481C" w:rsidP="004B0A70">
            <w:pPr>
              <w:rPr>
                <w:rFonts w:cs="Arial"/>
                <w:b w:val="0"/>
                <w:bCs w:val="0"/>
              </w:rPr>
            </w:pPr>
            <w:r w:rsidRPr="000A2AB3">
              <w:rPr>
                <w:rFonts w:cs="Arial"/>
                <w:b w:val="0"/>
                <w:bCs w:val="0"/>
              </w:rPr>
              <w:t>Plzeňský</w:t>
            </w:r>
          </w:p>
        </w:tc>
        <w:tc>
          <w:tcPr>
            <w:tcW w:w="1531"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10374</w:t>
            </w:r>
          </w:p>
        </w:tc>
        <w:tc>
          <w:tcPr>
            <w:tcW w:w="1027"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19,3</w:t>
            </w:r>
          </w:p>
        </w:tc>
        <w:tc>
          <w:tcPr>
            <w:tcW w:w="1097"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30,6</w:t>
            </w:r>
          </w:p>
        </w:tc>
        <w:tc>
          <w:tcPr>
            <w:tcW w:w="1170"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108,4</w:t>
            </w:r>
          </w:p>
        </w:tc>
        <w:tc>
          <w:tcPr>
            <w:tcW w:w="1236"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75,2</w:t>
            </w:r>
          </w:p>
        </w:tc>
        <w:tc>
          <w:tcPr>
            <w:tcW w:w="1244" w:type="dxa"/>
          </w:tcPr>
          <w:p w:rsidR="000A6993" w:rsidRPr="000A2AB3" w:rsidRDefault="00790777"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323,6</w:t>
            </w:r>
          </w:p>
        </w:tc>
      </w:tr>
      <w:tr w:rsidR="00670578" w:rsidRPr="000A2AB3" w:rsidTr="00670578">
        <w:tc>
          <w:tcPr>
            <w:cnfStyle w:val="001000000000" w:firstRow="0" w:lastRow="0" w:firstColumn="1" w:lastColumn="0" w:oddVBand="0" w:evenVBand="0" w:oddHBand="0" w:evenHBand="0" w:firstRowFirstColumn="0" w:firstRowLastColumn="0" w:lastRowFirstColumn="0" w:lastRowLastColumn="0"/>
            <w:tcW w:w="2008" w:type="dxa"/>
            <w:vMerge w:val="restart"/>
          </w:tcPr>
          <w:p w:rsidR="00670578" w:rsidRPr="000A2AB3" w:rsidRDefault="00670578" w:rsidP="0008481C">
            <w:pPr>
              <w:rPr>
                <w:rFonts w:cs="Arial"/>
                <w:b w:val="0"/>
                <w:bCs w:val="0"/>
              </w:rPr>
            </w:pPr>
            <w:r w:rsidRPr="000A2AB3">
              <w:rPr>
                <w:rFonts w:cs="Arial"/>
                <w:b w:val="0"/>
                <w:bCs w:val="0"/>
              </w:rPr>
              <w:t>Pardubický</w:t>
            </w:r>
          </w:p>
        </w:tc>
        <w:tc>
          <w:tcPr>
            <w:tcW w:w="1531"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9271</w:t>
            </w:r>
          </w:p>
        </w:tc>
        <w:tc>
          <w:tcPr>
            <w:tcW w:w="102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19,1</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28,7</w:t>
            </w:r>
          </w:p>
        </w:tc>
        <w:tc>
          <w:tcPr>
            <w:tcW w:w="1170"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85,7</w:t>
            </w:r>
          </w:p>
        </w:tc>
        <w:tc>
          <w:tcPr>
            <w:tcW w:w="1236"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77,1</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277,7</w:t>
            </w:r>
          </w:p>
        </w:tc>
      </w:tr>
      <w:tr w:rsidR="00670578" w:rsidRPr="000A2AB3" w:rsidTr="00670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Merge/>
          </w:tcPr>
          <w:p w:rsidR="00670578" w:rsidRPr="000A2AB3" w:rsidRDefault="00670578" w:rsidP="004B0A70">
            <w:pPr>
              <w:rPr>
                <w:rFonts w:cs="Arial"/>
                <w:b w:val="0"/>
                <w:bCs w:val="0"/>
              </w:rPr>
            </w:pPr>
          </w:p>
        </w:tc>
        <w:tc>
          <w:tcPr>
            <w:tcW w:w="1531"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10910</w:t>
            </w:r>
          </w:p>
        </w:tc>
        <w:tc>
          <w:tcPr>
            <w:tcW w:w="1027" w:type="dxa"/>
          </w:tcPr>
          <w:p w:rsidR="00670578" w:rsidRPr="000A2AB3" w:rsidRDefault="00207EE3" w:rsidP="00207EE3">
            <w:pPr>
              <w:tabs>
                <w:tab w:val="center" w:pos="405"/>
              </w:tabs>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ab/>
              <w:t>18,1</w:t>
            </w:r>
          </w:p>
        </w:tc>
        <w:tc>
          <w:tcPr>
            <w:tcW w:w="1097"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30,3</w:t>
            </w:r>
          </w:p>
        </w:tc>
        <w:tc>
          <w:tcPr>
            <w:tcW w:w="1170"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98,4</w:t>
            </w:r>
          </w:p>
        </w:tc>
        <w:tc>
          <w:tcPr>
            <w:tcW w:w="1236"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77,4</w:t>
            </w:r>
          </w:p>
        </w:tc>
        <w:tc>
          <w:tcPr>
            <w:tcW w:w="1244"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360,7</w:t>
            </w:r>
          </w:p>
        </w:tc>
      </w:tr>
      <w:tr w:rsidR="000A6993" w:rsidRPr="000A2AB3" w:rsidTr="00670578">
        <w:tc>
          <w:tcPr>
            <w:cnfStyle w:val="001000000000" w:firstRow="0" w:lastRow="0" w:firstColumn="1" w:lastColumn="0" w:oddVBand="0" w:evenVBand="0" w:oddHBand="0" w:evenHBand="0" w:firstRowFirstColumn="0" w:firstRowLastColumn="0" w:lastRowFirstColumn="0" w:lastRowLastColumn="0"/>
            <w:tcW w:w="2008" w:type="dxa"/>
          </w:tcPr>
          <w:p w:rsidR="000A6993" w:rsidRPr="000A2AB3" w:rsidRDefault="0008481C" w:rsidP="004B0A70">
            <w:pPr>
              <w:rPr>
                <w:rFonts w:cs="Arial"/>
                <w:b w:val="0"/>
                <w:bCs w:val="0"/>
              </w:rPr>
            </w:pPr>
            <w:r w:rsidRPr="000A2AB3">
              <w:rPr>
                <w:rFonts w:cs="Arial"/>
                <w:b w:val="0"/>
                <w:bCs w:val="0"/>
              </w:rPr>
              <w:t>Jihomoravský</w:t>
            </w:r>
          </w:p>
        </w:tc>
        <w:tc>
          <w:tcPr>
            <w:tcW w:w="1531" w:type="dxa"/>
          </w:tcPr>
          <w:p w:rsidR="000A6993"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8477</w:t>
            </w:r>
          </w:p>
        </w:tc>
        <w:tc>
          <w:tcPr>
            <w:tcW w:w="1027" w:type="dxa"/>
          </w:tcPr>
          <w:p w:rsidR="000A6993"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11,1</w:t>
            </w:r>
          </w:p>
        </w:tc>
        <w:tc>
          <w:tcPr>
            <w:tcW w:w="1097" w:type="dxa"/>
          </w:tcPr>
          <w:p w:rsidR="000A6993"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15,1</w:t>
            </w:r>
          </w:p>
        </w:tc>
        <w:tc>
          <w:tcPr>
            <w:tcW w:w="1170" w:type="dxa"/>
          </w:tcPr>
          <w:p w:rsidR="000A6993"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75,2</w:t>
            </w:r>
          </w:p>
        </w:tc>
        <w:tc>
          <w:tcPr>
            <w:tcW w:w="1236" w:type="dxa"/>
          </w:tcPr>
          <w:p w:rsidR="000A6993"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64,4</w:t>
            </w:r>
          </w:p>
        </w:tc>
        <w:tc>
          <w:tcPr>
            <w:tcW w:w="1244" w:type="dxa"/>
          </w:tcPr>
          <w:p w:rsidR="000A6993"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633,3</w:t>
            </w:r>
          </w:p>
        </w:tc>
      </w:tr>
      <w:tr w:rsidR="00670578" w:rsidRPr="000A2AB3" w:rsidTr="00670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Merge w:val="restart"/>
          </w:tcPr>
          <w:p w:rsidR="00670578" w:rsidRPr="000A2AB3" w:rsidRDefault="00670578" w:rsidP="00D902A3">
            <w:pPr>
              <w:rPr>
                <w:rFonts w:cs="Arial"/>
                <w:b w:val="0"/>
                <w:bCs w:val="0"/>
              </w:rPr>
            </w:pPr>
            <w:r w:rsidRPr="000A2AB3">
              <w:rPr>
                <w:rFonts w:cs="Arial"/>
                <w:b w:val="0"/>
                <w:bCs w:val="0"/>
              </w:rPr>
              <w:t>Hl. město Praha</w:t>
            </w:r>
          </w:p>
        </w:tc>
        <w:tc>
          <w:tcPr>
            <w:tcW w:w="1531"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9391</w:t>
            </w:r>
          </w:p>
        </w:tc>
        <w:tc>
          <w:tcPr>
            <w:tcW w:w="1027"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17,8</w:t>
            </w:r>
          </w:p>
        </w:tc>
        <w:tc>
          <w:tcPr>
            <w:tcW w:w="1097"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27,5</w:t>
            </w:r>
          </w:p>
        </w:tc>
        <w:tc>
          <w:tcPr>
            <w:tcW w:w="1170"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101,2</w:t>
            </w:r>
          </w:p>
        </w:tc>
        <w:tc>
          <w:tcPr>
            <w:tcW w:w="1236"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71,4</w:t>
            </w:r>
          </w:p>
        </w:tc>
        <w:tc>
          <w:tcPr>
            <w:tcW w:w="1244"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283,9</w:t>
            </w:r>
          </w:p>
        </w:tc>
      </w:tr>
      <w:tr w:rsidR="00670578" w:rsidRPr="000A2AB3" w:rsidTr="00670578">
        <w:tc>
          <w:tcPr>
            <w:cnfStyle w:val="001000000000" w:firstRow="0" w:lastRow="0" w:firstColumn="1" w:lastColumn="0" w:oddVBand="0" w:evenVBand="0" w:oddHBand="0" w:evenHBand="0" w:firstRowFirstColumn="0" w:firstRowLastColumn="0" w:lastRowFirstColumn="0" w:lastRowLastColumn="0"/>
            <w:tcW w:w="2008" w:type="dxa"/>
            <w:vMerge/>
          </w:tcPr>
          <w:p w:rsidR="00670578" w:rsidRPr="000A2AB3" w:rsidRDefault="00670578" w:rsidP="004B0A70">
            <w:pPr>
              <w:rPr>
                <w:rFonts w:cs="Arial"/>
                <w:b w:val="0"/>
                <w:bCs w:val="0"/>
              </w:rPr>
            </w:pPr>
          </w:p>
        </w:tc>
        <w:tc>
          <w:tcPr>
            <w:tcW w:w="1531"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12365</w:t>
            </w:r>
          </w:p>
        </w:tc>
        <w:tc>
          <w:tcPr>
            <w:tcW w:w="102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18,5</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27,4</w:t>
            </w:r>
          </w:p>
        </w:tc>
        <w:tc>
          <w:tcPr>
            <w:tcW w:w="1170"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108,6</w:t>
            </w:r>
          </w:p>
        </w:tc>
        <w:tc>
          <w:tcPr>
            <w:tcW w:w="1236"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103,9</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378,6</w:t>
            </w:r>
          </w:p>
        </w:tc>
      </w:tr>
      <w:tr w:rsidR="0008481C" w:rsidRPr="000A2AB3" w:rsidTr="00670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08481C" w:rsidRPr="000A2AB3" w:rsidRDefault="0008481C" w:rsidP="004B0A70">
            <w:pPr>
              <w:rPr>
                <w:rFonts w:cs="Arial"/>
                <w:b w:val="0"/>
                <w:bCs w:val="0"/>
              </w:rPr>
            </w:pPr>
            <w:r w:rsidRPr="000A2AB3">
              <w:rPr>
                <w:rFonts w:cs="Arial"/>
                <w:b w:val="0"/>
                <w:bCs w:val="0"/>
              </w:rPr>
              <w:t>Středočeský</w:t>
            </w:r>
          </w:p>
        </w:tc>
        <w:tc>
          <w:tcPr>
            <w:tcW w:w="1531"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11064</w:t>
            </w:r>
          </w:p>
        </w:tc>
        <w:tc>
          <w:tcPr>
            <w:tcW w:w="1027"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15,3</w:t>
            </w:r>
          </w:p>
        </w:tc>
        <w:tc>
          <w:tcPr>
            <w:tcW w:w="1097"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36,2</w:t>
            </w:r>
          </w:p>
        </w:tc>
        <w:tc>
          <w:tcPr>
            <w:tcW w:w="1170"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109,5</w:t>
            </w:r>
          </w:p>
        </w:tc>
        <w:tc>
          <w:tcPr>
            <w:tcW w:w="1236"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79,6</w:t>
            </w:r>
          </w:p>
        </w:tc>
        <w:tc>
          <w:tcPr>
            <w:tcW w:w="1244"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351,1</w:t>
            </w:r>
          </w:p>
        </w:tc>
      </w:tr>
      <w:tr w:rsidR="0008481C" w:rsidRPr="000A2AB3" w:rsidTr="00670578">
        <w:tc>
          <w:tcPr>
            <w:cnfStyle w:val="001000000000" w:firstRow="0" w:lastRow="0" w:firstColumn="1" w:lastColumn="0" w:oddVBand="0" w:evenVBand="0" w:oddHBand="0" w:evenHBand="0" w:firstRowFirstColumn="0" w:firstRowLastColumn="0" w:lastRowFirstColumn="0" w:lastRowLastColumn="0"/>
            <w:tcW w:w="2008" w:type="dxa"/>
          </w:tcPr>
          <w:p w:rsidR="0008481C" w:rsidRPr="000A2AB3" w:rsidRDefault="0008481C" w:rsidP="004B0A70">
            <w:pPr>
              <w:rPr>
                <w:rFonts w:cs="Arial"/>
                <w:b w:val="0"/>
                <w:bCs w:val="0"/>
              </w:rPr>
            </w:pPr>
            <w:r w:rsidRPr="000A2AB3">
              <w:rPr>
                <w:rFonts w:cs="Arial"/>
                <w:b w:val="0"/>
                <w:bCs w:val="0"/>
              </w:rPr>
              <w:t>Ústecký</w:t>
            </w:r>
          </w:p>
        </w:tc>
        <w:tc>
          <w:tcPr>
            <w:tcW w:w="1531"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8708</w:t>
            </w:r>
          </w:p>
        </w:tc>
        <w:tc>
          <w:tcPr>
            <w:tcW w:w="1027"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15,7</w:t>
            </w:r>
          </w:p>
        </w:tc>
        <w:tc>
          <w:tcPr>
            <w:tcW w:w="1097"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20,6</w:t>
            </w:r>
          </w:p>
        </w:tc>
        <w:tc>
          <w:tcPr>
            <w:tcW w:w="1170"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85,4</w:t>
            </w:r>
          </w:p>
        </w:tc>
        <w:tc>
          <w:tcPr>
            <w:tcW w:w="1236"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70,5</w:t>
            </w:r>
          </w:p>
        </w:tc>
        <w:tc>
          <w:tcPr>
            <w:tcW w:w="1244"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263,6</w:t>
            </w:r>
          </w:p>
        </w:tc>
      </w:tr>
      <w:tr w:rsidR="0008481C" w:rsidRPr="000A2AB3" w:rsidTr="00670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08481C" w:rsidRPr="000A2AB3" w:rsidRDefault="0008481C" w:rsidP="004B0A70">
            <w:pPr>
              <w:rPr>
                <w:rFonts w:cs="Arial"/>
                <w:b w:val="0"/>
                <w:bCs w:val="0"/>
              </w:rPr>
            </w:pPr>
            <w:r w:rsidRPr="000A2AB3">
              <w:rPr>
                <w:rFonts w:cs="Arial"/>
                <w:b w:val="0"/>
                <w:bCs w:val="0"/>
              </w:rPr>
              <w:t>Jihočeský</w:t>
            </w:r>
          </w:p>
        </w:tc>
        <w:tc>
          <w:tcPr>
            <w:tcW w:w="1531"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10579</w:t>
            </w:r>
          </w:p>
        </w:tc>
        <w:tc>
          <w:tcPr>
            <w:tcW w:w="1027"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17,1</w:t>
            </w:r>
          </w:p>
        </w:tc>
        <w:tc>
          <w:tcPr>
            <w:tcW w:w="1097"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25,5</w:t>
            </w:r>
          </w:p>
        </w:tc>
        <w:tc>
          <w:tcPr>
            <w:tcW w:w="1170"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101,2</w:t>
            </w:r>
          </w:p>
        </w:tc>
        <w:tc>
          <w:tcPr>
            <w:tcW w:w="1236"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73,3</w:t>
            </w:r>
          </w:p>
        </w:tc>
        <w:tc>
          <w:tcPr>
            <w:tcW w:w="1244" w:type="dxa"/>
          </w:tcPr>
          <w:p w:rsidR="0008481C" w:rsidRPr="000A2AB3" w:rsidRDefault="00D902A3"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350,0</w:t>
            </w:r>
          </w:p>
        </w:tc>
      </w:tr>
      <w:tr w:rsidR="0008481C" w:rsidRPr="000A2AB3" w:rsidTr="00670578">
        <w:tc>
          <w:tcPr>
            <w:cnfStyle w:val="001000000000" w:firstRow="0" w:lastRow="0" w:firstColumn="1" w:lastColumn="0" w:oddVBand="0" w:evenVBand="0" w:oddHBand="0" w:evenHBand="0" w:firstRowFirstColumn="0" w:firstRowLastColumn="0" w:lastRowFirstColumn="0" w:lastRowLastColumn="0"/>
            <w:tcW w:w="2008" w:type="dxa"/>
          </w:tcPr>
          <w:p w:rsidR="0008481C" w:rsidRPr="000A2AB3" w:rsidRDefault="0008481C" w:rsidP="004B0A70">
            <w:pPr>
              <w:rPr>
                <w:rFonts w:cs="Arial"/>
                <w:b w:val="0"/>
                <w:bCs w:val="0"/>
              </w:rPr>
            </w:pPr>
            <w:r w:rsidRPr="000A2AB3">
              <w:rPr>
                <w:rFonts w:cs="Arial"/>
                <w:b w:val="0"/>
                <w:bCs w:val="0"/>
              </w:rPr>
              <w:t>Liberecký</w:t>
            </w:r>
          </w:p>
        </w:tc>
        <w:tc>
          <w:tcPr>
            <w:tcW w:w="1531"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9141</w:t>
            </w:r>
          </w:p>
        </w:tc>
        <w:tc>
          <w:tcPr>
            <w:tcW w:w="1027"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17,6</w:t>
            </w:r>
          </w:p>
        </w:tc>
        <w:tc>
          <w:tcPr>
            <w:tcW w:w="1097"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27,4</w:t>
            </w:r>
          </w:p>
        </w:tc>
        <w:tc>
          <w:tcPr>
            <w:tcW w:w="1170"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98,2</w:t>
            </w:r>
          </w:p>
        </w:tc>
        <w:tc>
          <w:tcPr>
            <w:tcW w:w="1236"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65,7</w:t>
            </w:r>
          </w:p>
        </w:tc>
        <w:tc>
          <w:tcPr>
            <w:tcW w:w="1244" w:type="dxa"/>
          </w:tcPr>
          <w:p w:rsidR="0008481C" w:rsidRPr="000A2AB3" w:rsidRDefault="00D902A3"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286,1</w:t>
            </w:r>
          </w:p>
        </w:tc>
      </w:tr>
      <w:tr w:rsidR="00670578" w:rsidRPr="000A2AB3" w:rsidTr="00670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Merge w:val="restart"/>
          </w:tcPr>
          <w:p w:rsidR="00670578" w:rsidRPr="000A2AB3" w:rsidRDefault="00670578" w:rsidP="004B0A70">
            <w:pPr>
              <w:rPr>
                <w:rFonts w:cs="Arial"/>
                <w:b w:val="0"/>
                <w:bCs w:val="0"/>
              </w:rPr>
            </w:pPr>
            <w:r w:rsidRPr="000A2AB3">
              <w:rPr>
                <w:rFonts w:cs="Arial"/>
                <w:b w:val="0"/>
                <w:bCs w:val="0"/>
              </w:rPr>
              <w:t>Královéhradecký</w:t>
            </w:r>
          </w:p>
        </w:tc>
        <w:tc>
          <w:tcPr>
            <w:tcW w:w="1531"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9095</w:t>
            </w:r>
          </w:p>
        </w:tc>
        <w:tc>
          <w:tcPr>
            <w:tcW w:w="1027"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15,0</w:t>
            </w:r>
          </w:p>
        </w:tc>
        <w:tc>
          <w:tcPr>
            <w:tcW w:w="1097"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26,5</w:t>
            </w:r>
          </w:p>
        </w:tc>
        <w:tc>
          <w:tcPr>
            <w:tcW w:w="1170"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88,7</w:t>
            </w:r>
          </w:p>
        </w:tc>
        <w:tc>
          <w:tcPr>
            <w:tcW w:w="1236"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75,7</w:t>
            </w:r>
          </w:p>
        </w:tc>
        <w:tc>
          <w:tcPr>
            <w:tcW w:w="1244" w:type="dxa"/>
          </w:tcPr>
          <w:p w:rsidR="00670578" w:rsidRPr="000A2AB3" w:rsidRDefault="00670578" w:rsidP="006C6CC9">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268,9</w:t>
            </w:r>
          </w:p>
        </w:tc>
      </w:tr>
      <w:tr w:rsidR="00670578" w:rsidRPr="000A2AB3" w:rsidTr="00670578">
        <w:tc>
          <w:tcPr>
            <w:cnfStyle w:val="001000000000" w:firstRow="0" w:lastRow="0" w:firstColumn="1" w:lastColumn="0" w:oddVBand="0" w:evenVBand="0" w:oddHBand="0" w:evenHBand="0" w:firstRowFirstColumn="0" w:firstRowLastColumn="0" w:lastRowFirstColumn="0" w:lastRowLastColumn="0"/>
            <w:tcW w:w="2008" w:type="dxa"/>
            <w:vMerge/>
          </w:tcPr>
          <w:p w:rsidR="00670578" w:rsidRPr="000A2AB3" w:rsidRDefault="00670578" w:rsidP="004B0A70">
            <w:pPr>
              <w:rPr>
                <w:rFonts w:cs="Arial"/>
                <w:b w:val="0"/>
                <w:bCs w:val="0"/>
              </w:rPr>
            </w:pPr>
          </w:p>
        </w:tc>
        <w:tc>
          <w:tcPr>
            <w:tcW w:w="1531"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10112</w:t>
            </w:r>
          </w:p>
        </w:tc>
        <w:tc>
          <w:tcPr>
            <w:tcW w:w="102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18,1</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24,4</w:t>
            </w:r>
          </w:p>
        </w:tc>
        <w:tc>
          <w:tcPr>
            <w:tcW w:w="1170"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101,3</w:t>
            </w:r>
          </w:p>
        </w:tc>
        <w:tc>
          <w:tcPr>
            <w:tcW w:w="1236"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81,4</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338,0</w:t>
            </w:r>
          </w:p>
        </w:tc>
      </w:tr>
    </w:tbl>
    <w:p w:rsidR="004B0A70" w:rsidRPr="000A2AB3" w:rsidRDefault="004B0A70" w:rsidP="004B0A70">
      <w:pPr>
        <w:ind w:left="-190"/>
        <w:rPr>
          <w:rFonts w:cs="Arial"/>
          <w:b/>
          <w:bCs/>
        </w:rPr>
      </w:pPr>
    </w:p>
    <w:p w:rsidR="00B34FDC" w:rsidRPr="000A2AB3" w:rsidRDefault="00B34FDC" w:rsidP="00B34FDC">
      <w:pPr>
        <w:ind w:left="-190"/>
        <w:rPr>
          <w:rFonts w:cs="Arial"/>
          <w:bCs/>
        </w:rPr>
      </w:pPr>
      <w:r w:rsidRPr="000A2AB3">
        <w:rPr>
          <w:rFonts w:cs="Arial"/>
          <w:bCs/>
        </w:rPr>
        <w:t xml:space="preserve">Tabulka </w:t>
      </w:r>
      <w:r w:rsidR="002D3B99" w:rsidRPr="000A2AB3">
        <w:rPr>
          <w:rFonts w:cs="Arial"/>
          <w:bCs/>
        </w:rPr>
        <w:t>2</w:t>
      </w:r>
      <w:r w:rsidRPr="000A2AB3">
        <w:rPr>
          <w:rFonts w:cs="Arial"/>
          <w:bCs/>
        </w:rPr>
        <w:t>: přehled výsledků zjištěných hodnot v zařízeních sociálních služeb</w:t>
      </w:r>
    </w:p>
    <w:tbl>
      <w:tblPr>
        <w:tblStyle w:val="Stednmka3zvraznn6"/>
        <w:tblW w:w="9339" w:type="dxa"/>
        <w:tblLayout w:type="fixed"/>
        <w:tblLook w:val="06A0" w:firstRow="1" w:lastRow="0" w:firstColumn="1" w:lastColumn="0" w:noHBand="1" w:noVBand="1"/>
      </w:tblPr>
      <w:tblGrid>
        <w:gridCol w:w="2027"/>
        <w:gridCol w:w="1544"/>
        <w:gridCol w:w="1133"/>
        <w:gridCol w:w="1097"/>
        <w:gridCol w:w="1160"/>
        <w:gridCol w:w="10"/>
        <w:gridCol w:w="1124"/>
        <w:gridCol w:w="1244"/>
      </w:tblGrid>
      <w:tr w:rsidR="002C03B7" w:rsidRPr="000A2AB3" w:rsidTr="002C0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tcPr>
          <w:p w:rsidR="002C03B7" w:rsidRPr="000A2AB3" w:rsidRDefault="002C03B7" w:rsidP="00996E9C">
            <w:pPr>
              <w:rPr>
                <w:rFonts w:cs="Arial"/>
                <w:b w:val="0"/>
                <w:bCs w:val="0"/>
              </w:rPr>
            </w:pPr>
            <w:r w:rsidRPr="000A2AB3">
              <w:rPr>
                <w:rFonts w:cs="Arial"/>
                <w:b w:val="0"/>
                <w:bCs w:val="0"/>
              </w:rPr>
              <w:t>kraj</w:t>
            </w:r>
          </w:p>
        </w:tc>
        <w:tc>
          <w:tcPr>
            <w:tcW w:w="1544" w:type="dxa"/>
          </w:tcPr>
          <w:p w:rsidR="002C03B7" w:rsidRPr="000A2AB3" w:rsidRDefault="002C03B7"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energetická hodnota (kJ/den)</w:t>
            </w:r>
          </w:p>
        </w:tc>
        <w:tc>
          <w:tcPr>
            <w:tcW w:w="1133" w:type="dxa"/>
          </w:tcPr>
          <w:p w:rsidR="002C03B7" w:rsidRPr="000A2AB3" w:rsidRDefault="002C03B7"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sůl (g/den)</w:t>
            </w:r>
          </w:p>
        </w:tc>
        <w:tc>
          <w:tcPr>
            <w:tcW w:w="1097" w:type="dxa"/>
          </w:tcPr>
          <w:p w:rsidR="002C03B7" w:rsidRPr="000A2AB3" w:rsidRDefault="002C03B7"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vláknina (g/den)</w:t>
            </w:r>
          </w:p>
        </w:tc>
        <w:tc>
          <w:tcPr>
            <w:tcW w:w="1160" w:type="dxa"/>
          </w:tcPr>
          <w:p w:rsidR="002C03B7" w:rsidRPr="000A2AB3" w:rsidRDefault="002C03B7"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bílkoviny (g/den)</w:t>
            </w:r>
          </w:p>
        </w:tc>
        <w:tc>
          <w:tcPr>
            <w:tcW w:w="1134" w:type="dxa"/>
            <w:gridSpan w:val="2"/>
          </w:tcPr>
          <w:p w:rsidR="002C03B7" w:rsidRPr="000A2AB3" w:rsidRDefault="002C03B7"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tuky (g/den)</w:t>
            </w:r>
          </w:p>
        </w:tc>
        <w:tc>
          <w:tcPr>
            <w:tcW w:w="1244" w:type="dxa"/>
          </w:tcPr>
          <w:p w:rsidR="002C03B7" w:rsidRPr="000A2AB3" w:rsidRDefault="002C03B7" w:rsidP="0070103A">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AB3">
              <w:rPr>
                <w:rFonts w:cs="Arial"/>
                <w:bCs w:val="0"/>
              </w:rPr>
              <w:t>sacharidy (g/den)</w:t>
            </w:r>
          </w:p>
        </w:tc>
      </w:tr>
      <w:tr w:rsidR="002C03B7" w:rsidRPr="000A2AB3" w:rsidTr="002C03B7">
        <w:tc>
          <w:tcPr>
            <w:cnfStyle w:val="001000000000" w:firstRow="0" w:lastRow="0" w:firstColumn="1" w:lastColumn="0" w:oddVBand="0" w:evenVBand="0" w:oddHBand="0" w:evenHBand="0" w:firstRowFirstColumn="0" w:firstRowLastColumn="0" w:lastRowFirstColumn="0" w:lastRowLastColumn="0"/>
            <w:tcW w:w="2027" w:type="dxa"/>
          </w:tcPr>
          <w:p w:rsidR="002C03B7" w:rsidRPr="000A2AB3" w:rsidRDefault="002C03B7" w:rsidP="00A572EF">
            <w:pPr>
              <w:rPr>
                <w:rFonts w:cs="Arial"/>
                <w:b w:val="0"/>
                <w:bCs w:val="0"/>
              </w:rPr>
            </w:pPr>
            <w:r w:rsidRPr="000A2AB3">
              <w:rPr>
                <w:rFonts w:cs="Arial"/>
                <w:b w:val="0"/>
                <w:bCs w:val="0"/>
              </w:rPr>
              <w:t>Karlovarský</w:t>
            </w:r>
          </w:p>
        </w:tc>
        <w:tc>
          <w:tcPr>
            <w:tcW w:w="15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9314</w:t>
            </w:r>
          </w:p>
        </w:tc>
        <w:tc>
          <w:tcPr>
            <w:tcW w:w="1133"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16,3</w:t>
            </w:r>
          </w:p>
        </w:tc>
        <w:tc>
          <w:tcPr>
            <w:tcW w:w="1097"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25,2</w:t>
            </w:r>
          </w:p>
        </w:tc>
        <w:tc>
          <w:tcPr>
            <w:tcW w:w="1170" w:type="dxa"/>
            <w:gridSpan w:val="2"/>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75,9</w:t>
            </w:r>
          </w:p>
        </w:tc>
        <w:tc>
          <w:tcPr>
            <w:tcW w:w="112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76,0</w:t>
            </w:r>
          </w:p>
        </w:tc>
        <w:tc>
          <w:tcPr>
            <w:tcW w:w="12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322,7</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A572EF">
            <w:pPr>
              <w:rPr>
                <w:rFonts w:cs="Arial"/>
                <w:b w:val="0"/>
                <w:bCs w:val="0"/>
              </w:rPr>
            </w:pPr>
            <w:r w:rsidRPr="000A2AB3">
              <w:rPr>
                <w:rFonts w:cs="Arial"/>
                <w:b w:val="0"/>
                <w:bCs w:val="0"/>
              </w:rPr>
              <w:t>Zlínský</w:t>
            </w: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8853</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12,4</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26,1</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82,9</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66,9</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282,5</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572EF">
            <w:pPr>
              <w:rPr>
                <w:rFonts w:cs="Arial"/>
                <w:b w:val="0"/>
                <w:bCs w:val="0"/>
              </w:rPr>
            </w:pP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8754</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11,4</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23,3</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79,5</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74,9</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261,1</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572EF">
            <w:pPr>
              <w:rPr>
                <w:rFonts w:cs="Arial"/>
                <w:b w:val="0"/>
                <w:bCs w:val="0"/>
              </w:rPr>
            </w:pP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7816</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8,9</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23,9</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75,2</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66,8</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238,1</w:t>
            </w:r>
          </w:p>
        </w:tc>
      </w:tr>
      <w:tr w:rsidR="002C03B7" w:rsidRPr="000A2AB3" w:rsidTr="002C03B7">
        <w:tc>
          <w:tcPr>
            <w:cnfStyle w:val="001000000000" w:firstRow="0" w:lastRow="0" w:firstColumn="1" w:lastColumn="0" w:oddVBand="0" w:evenVBand="0" w:oddHBand="0" w:evenHBand="0" w:firstRowFirstColumn="0" w:firstRowLastColumn="0" w:lastRowFirstColumn="0" w:lastRowLastColumn="0"/>
            <w:tcW w:w="2027" w:type="dxa"/>
          </w:tcPr>
          <w:p w:rsidR="002C03B7" w:rsidRPr="000A2AB3" w:rsidRDefault="002C03B7" w:rsidP="00A572EF">
            <w:pPr>
              <w:rPr>
                <w:rFonts w:cs="Arial"/>
                <w:b w:val="0"/>
                <w:bCs w:val="0"/>
              </w:rPr>
            </w:pPr>
            <w:r w:rsidRPr="000A2AB3">
              <w:rPr>
                <w:rFonts w:cs="Arial"/>
                <w:b w:val="0"/>
                <w:bCs w:val="0"/>
              </w:rPr>
              <w:t>Moravskoslezský</w:t>
            </w:r>
          </w:p>
        </w:tc>
        <w:tc>
          <w:tcPr>
            <w:tcW w:w="15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8260</w:t>
            </w:r>
          </w:p>
        </w:tc>
        <w:tc>
          <w:tcPr>
            <w:tcW w:w="1133"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9,9</w:t>
            </w:r>
          </w:p>
        </w:tc>
        <w:tc>
          <w:tcPr>
            <w:tcW w:w="1097"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24,2</w:t>
            </w:r>
          </w:p>
        </w:tc>
        <w:tc>
          <w:tcPr>
            <w:tcW w:w="1170" w:type="dxa"/>
            <w:gridSpan w:val="2"/>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87,7</w:t>
            </w:r>
          </w:p>
        </w:tc>
        <w:tc>
          <w:tcPr>
            <w:tcW w:w="112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61,2</w:t>
            </w:r>
          </w:p>
        </w:tc>
        <w:tc>
          <w:tcPr>
            <w:tcW w:w="12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252,5</w:t>
            </w:r>
          </w:p>
        </w:tc>
      </w:tr>
      <w:tr w:rsidR="002C03B7" w:rsidRPr="000A2AB3" w:rsidTr="002C03B7">
        <w:tc>
          <w:tcPr>
            <w:cnfStyle w:val="001000000000" w:firstRow="0" w:lastRow="0" w:firstColumn="1" w:lastColumn="0" w:oddVBand="0" w:evenVBand="0" w:oddHBand="0" w:evenHBand="0" w:firstRowFirstColumn="0" w:firstRowLastColumn="0" w:lastRowFirstColumn="0" w:lastRowLastColumn="0"/>
            <w:tcW w:w="2027" w:type="dxa"/>
          </w:tcPr>
          <w:p w:rsidR="002C03B7" w:rsidRPr="000A2AB3" w:rsidRDefault="002C03B7" w:rsidP="00A572EF">
            <w:pPr>
              <w:rPr>
                <w:rFonts w:cs="Arial"/>
                <w:b w:val="0"/>
                <w:bCs w:val="0"/>
              </w:rPr>
            </w:pPr>
            <w:r w:rsidRPr="000A2AB3">
              <w:rPr>
                <w:rFonts w:cs="Arial"/>
                <w:b w:val="0"/>
                <w:bCs w:val="0"/>
              </w:rPr>
              <w:t>Vysočina</w:t>
            </w:r>
          </w:p>
        </w:tc>
        <w:tc>
          <w:tcPr>
            <w:tcW w:w="15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7954</w:t>
            </w:r>
          </w:p>
        </w:tc>
        <w:tc>
          <w:tcPr>
            <w:tcW w:w="1133"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13,0</w:t>
            </w:r>
          </w:p>
        </w:tc>
        <w:tc>
          <w:tcPr>
            <w:tcW w:w="1097"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21,6</w:t>
            </w:r>
          </w:p>
        </w:tc>
        <w:tc>
          <w:tcPr>
            <w:tcW w:w="1170" w:type="dxa"/>
            <w:gridSpan w:val="2"/>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79,6</w:t>
            </w:r>
          </w:p>
        </w:tc>
        <w:tc>
          <w:tcPr>
            <w:tcW w:w="112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56,9</w:t>
            </w:r>
          </w:p>
        </w:tc>
        <w:tc>
          <w:tcPr>
            <w:tcW w:w="12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254,2</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A572EF">
            <w:pPr>
              <w:rPr>
                <w:rFonts w:cs="Arial"/>
                <w:b w:val="0"/>
                <w:bCs w:val="0"/>
              </w:rPr>
            </w:pPr>
            <w:r w:rsidRPr="000A2AB3">
              <w:rPr>
                <w:rFonts w:cs="Arial"/>
                <w:b w:val="0"/>
                <w:bCs w:val="0"/>
              </w:rPr>
              <w:t>Olomoucký</w:t>
            </w: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8884</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10,5</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29,0</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86,5</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73,4</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2958</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572EF">
            <w:pPr>
              <w:rPr>
                <w:rFonts w:cs="Arial"/>
                <w:b w:val="0"/>
                <w:bCs w:val="0"/>
              </w:rPr>
            </w:pP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7877</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10,1</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19,6</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82,4</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48,6</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266,0</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572EF">
            <w:pPr>
              <w:rPr>
                <w:rFonts w:cs="Arial"/>
                <w:b w:val="0"/>
                <w:bCs w:val="0"/>
              </w:rPr>
            </w:pP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8136</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10,5</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18,1</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78,8</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52,9</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279,4</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A572EF">
            <w:pPr>
              <w:rPr>
                <w:rFonts w:cs="Arial"/>
                <w:b w:val="0"/>
                <w:bCs w:val="0"/>
              </w:rPr>
            </w:pPr>
            <w:r w:rsidRPr="000A2AB3">
              <w:rPr>
                <w:rFonts w:cs="Arial"/>
                <w:b w:val="0"/>
                <w:bCs w:val="0"/>
              </w:rPr>
              <w:t>Plzeňský</w:t>
            </w: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9024</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15,1</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24,7</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98,9</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72,4</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265,9</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572EF">
            <w:pPr>
              <w:rPr>
                <w:rFonts w:cs="Arial"/>
                <w:b w:val="0"/>
                <w:bCs w:val="0"/>
              </w:rPr>
            </w:pP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8699</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16,5</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17,8</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90,5</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85,0</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227,9</w:t>
            </w:r>
          </w:p>
        </w:tc>
      </w:tr>
      <w:tr w:rsidR="002C03B7" w:rsidRPr="000A2AB3" w:rsidTr="002C03B7">
        <w:tc>
          <w:tcPr>
            <w:cnfStyle w:val="001000000000" w:firstRow="0" w:lastRow="0" w:firstColumn="1" w:lastColumn="0" w:oddVBand="0" w:evenVBand="0" w:oddHBand="0" w:evenHBand="0" w:firstRowFirstColumn="0" w:firstRowLastColumn="0" w:lastRowFirstColumn="0" w:lastRowLastColumn="0"/>
            <w:tcW w:w="2027" w:type="dxa"/>
          </w:tcPr>
          <w:p w:rsidR="002C03B7" w:rsidRPr="000A2AB3" w:rsidRDefault="002C03B7" w:rsidP="00A572EF">
            <w:pPr>
              <w:rPr>
                <w:rFonts w:cs="Arial"/>
                <w:b w:val="0"/>
                <w:bCs w:val="0"/>
              </w:rPr>
            </w:pPr>
            <w:r w:rsidRPr="000A2AB3">
              <w:rPr>
                <w:rFonts w:cs="Arial"/>
                <w:b w:val="0"/>
                <w:bCs w:val="0"/>
              </w:rPr>
              <w:t>Pardubický</w:t>
            </w:r>
          </w:p>
        </w:tc>
        <w:tc>
          <w:tcPr>
            <w:tcW w:w="15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7539</w:t>
            </w:r>
          </w:p>
        </w:tc>
        <w:tc>
          <w:tcPr>
            <w:tcW w:w="1133"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14,3</w:t>
            </w:r>
          </w:p>
        </w:tc>
        <w:tc>
          <w:tcPr>
            <w:tcW w:w="1097"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21,6</w:t>
            </w:r>
          </w:p>
        </w:tc>
        <w:tc>
          <w:tcPr>
            <w:tcW w:w="1170" w:type="dxa"/>
            <w:gridSpan w:val="2"/>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66,8</w:t>
            </w:r>
          </w:p>
        </w:tc>
        <w:tc>
          <w:tcPr>
            <w:tcW w:w="112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70,6</w:t>
            </w:r>
          </w:p>
        </w:tc>
        <w:tc>
          <w:tcPr>
            <w:tcW w:w="12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226,1</w:t>
            </w:r>
          </w:p>
        </w:tc>
      </w:tr>
      <w:tr w:rsidR="002C03B7" w:rsidRPr="000A2AB3" w:rsidTr="002C03B7">
        <w:tc>
          <w:tcPr>
            <w:cnfStyle w:val="001000000000" w:firstRow="0" w:lastRow="0" w:firstColumn="1" w:lastColumn="0" w:oddVBand="0" w:evenVBand="0" w:oddHBand="0" w:evenHBand="0" w:firstRowFirstColumn="0" w:firstRowLastColumn="0" w:lastRowFirstColumn="0" w:lastRowLastColumn="0"/>
            <w:tcW w:w="2027" w:type="dxa"/>
          </w:tcPr>
          <w:p w:rsidR="002C03B7" w:rsidRPr="000A2AB3" w:rsidRDefault="002C03B7" w:rsidP="00181592">
            <w:pPr>
              <w:rPr>
                <w:rFonts w:cs="Arial"/>
                <w:b w:val="0"/>
                <w:bCs w:val="0"/>
              </w:rPr>
            </w:pPr>
            <w:r w:rsidRPr="000A2AB3">
              <w:rPr>
                <w:rFonts w:cs="Arial"/>
                <w:b w:val="0"/>
                <w:bCs w:val="0"/>
              </w:rPr>
              <w:t>Jihomoravský</w:t>
            </w:r>
          </w:p>
        </w:tc>
        <w:tc>
          <w:tcPr>
            <w:tcW w:w="15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9166</w:t>
            </w:r>
          </w:p>
        </w:tc>
        <w:tc>
          <w:tcPr>
            <w:tcW w:w="1133"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13,0</w:t>
            </w:r>
          </w:p>
        </w:tc>
        <w:tc>
          <w:tcPr>
            <w:tcW w:w="1097"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29,7</w:t>
            </w:r>
          </w:p>
        </w:tc>
        <w:tc>
          <w:tcPr>
            <w:tcW w:w="1170" w:type="dxa"/>
            <w:gridSpan w:val="2"/>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86,8</w:t>
            </w:r>
          </w:p>
        </w:tc>
        <w:tc>
          <w:tcPr>
            <w:tcW w:w="112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83,5</w:t>
            </w:r>
          </w:p>
        </w:tc>
        <w:tc>
          <w:tcPr>
            <w:tcW w:w="12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256,9</w:t>
            </w:r>
          </w:p>
        </w:tc>
      </w:tr>
      <w:tr w:rsidR="002C03B7" w:rsidRPr="000A2AB3" w:rsidTr="002C03B7">
        <w:tc>
          <w:tcPr>
            <w:cnfStyle w:val="001000000000" w:firstRow="0" w:lastRow="0" w:firstColumn="1" w:lastColumn="0" w:oddVBand="0" w:evenVBand="0" w:oddHBand="0" w:evenHBand="0" w:firstRowFirstColumn="0" w:firstRowLastColumn="0" w:lastRowFirstColumn="0" w:lastRowLastColumn="0"/>
            <w:tcW w:w="2027" w:type="dxa"/>
          </w:tcPr>
          <w:p w:rsidR="002C03B7" w:rsidRPr="000A2AB3" w:rsidRDefault="002C03B7" w:rsidP="00181592">
            <w:pPr>
              <w:rPr>
                <w:rFonts w:cs="Arial"/>
                <w:b w:val="0"/>
                <w:bCs w:val="0"/>
              </w:rPr>
            </w:pPr>
            <w:r w:rsidRPr="000A2AB3">
              <w:rPr>
                <w:rFonts w:cs="Arial"/>
                <w:b w:val="0"/>
                <w:bCs w:val="0"/>
              </w:rPr>
              <w:t>hl. město Praha</w:t>
            </w:r>
          </w:p>
        </w:tc>
        <w:tc>
          <w:tcPr>
            <w:tcW w:w="15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9263</w:t>
            </w:r>
          </w:p>
        </w:tc>
        <w:tc>
          <w:tcPr>
            <w:tcW w:w="1133"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14,5</w:t>
            </w:r>
          </w:p>
        </w:tc>
        <w:tc>
          <w:tcPr>
            <w:tcW w:w="1097"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21,3</w:t>
            </w:r>
          </w:p>
        </w:tc>
        <w:tc>
          <w:tcPr>
            <w:tcW w:w="1170" w:type="dxa"/>
            <w:gridSpan w:val="2"/>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81,5</w:t>
            </w:r>
          </w:p>
        </w:tc>
        <w:tc>
          <w:tcPr>
            <w:tcW w:w="112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67,4</w:t>
            </w:r>
          </w:p>
        </w:tc>
        <w:tc>
          <w:tcPr>
            <w:tcW w:w="12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306,8</w:t>
            </w:r>
          </w:p>
        </w:tc>
      </w:tr>
      <w:tr w:rsidR="002C03B7" w:rsidRPr="000A2AB3" w:rsidTr="002C03B7">
        <w:tc>
          <w:tcPr>
            <w:cnfStyle w:val="001000000000" w:firstRow="0" w:lastRow="0" w:firstColumn="1" w:lastColumn="0" w:oddVBand="0" w:evenVBand="0" w:oddHBand="0" w:evenHBand="0" w:firstRowFirstColumn="0" w:firstRowLastColumn="0" w:lastRowFirstColumn="0" w:lastRowLastColumn="0"/>
            <w:tcW w:w="2027" w:type="dxa"/>
          </w:tcPr>
          <w:p w:rsidR="002C03B7" w:rsidRPr="000A2AB3" w:rsidRDefault="002C03B7" w:rsidP="00181592">
            <w:pPr>
              <w:rPr>
                <w:rFonts w:cs="Arial"/>
                <w:b w:val="0"/>
                <w:bCs w:val="0"/>
              </w:rPr>
            </w:pPr>
            <w:r w:rsidRPr="000A2AB3">
              <w:rPr>
                <w:rFonts w:cs="Arial"/>
                <w:b w:val="0"/>
                <w:bCs w:val="0"/>
              </w:rPr>
              <w:t>Středočeský</w:t>
            </w:r>
          </w:p>
        </w:tc>
        <w:tc>
          <w:tcPr>
            <w:tcW w:w="15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6961</w:t>
            </w:r>
          </w:p>
        </w:tc>
        <w:tc>
          <w:tcPr>
            <w:tcW w:w="1133"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12,5</w:t>
            </w:r>
          </w:p>
        </w:tc>
        <w:tc>
          <w:tcPr>
            <w:tcW w:w="1097"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21,9</w:t>
            </w:r>
          </w:p>
        </w:tc>
        <w:tc>
          <w:tcPr>
            <w:tcW w:w="1170" w:type="dxa"/>
            <w:gridSpan w:val="2"/>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62,8</w:t>
            </w:r>
          </w:p>
        </w:tc>
        <w:tc>
          <w:tcPr>
            <w:tcW w:w="112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55,3</w:t>
            </w:r>
          </w:p>
        </w:tc>
        <w:tc>
          <w:tcPr>
            <w:tcW w:w="12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215,0</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181592">
            <w:pPr>
              <w:rPr>
                <w:rFonts w:cs="Arial"/>
                <w:b w:val="0"/>
                <w:bCs w:val="0"/>
              </w:rPr>
            </w:pPr>
            <w:r w:rsidRPr="000A2AB3">
              <w:rPr>
                <w:rFonts w:cs="Arial"/>
                <w:b w:val="0"/>
                <w:bCs w:val="0"/>
              </w:rPr>
              <w:t>Ústecký</w:t>
            </w: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8812</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12,5</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21,8</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85,0</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78,8</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251,8</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572EF">
            <w:pPr>
              <w:rPr>
                <w:rFonts w:cs="Arial"/>
                <w:b w:val="0"/>
                <w:bCs w:val="0"/>
              </w:rPr>
            </w:pP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10759</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17,3</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25,4</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86,2</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100,2</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316,4</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181592">
            <w:pPr>
              <w:rPr>
                <w:rFonts w:cs="Arial"/>
                <w:b w:val="0"/>
                <w:bCs w:val="0"/>
              </w:rPr>
            </w:pPr>
            <w:r w:rsidRPr="000A2AB3">
              <w:rPr>
                <w:rFonts w:cs="Arial"/>
                <w:b w:val="0"/>
                <w:bCs w:val="0"/>
              </w:rPr>
              <w:t>Jihočeský</w:t>
            </w: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9329</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16,8</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27,2</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94,5</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88,4</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249,1</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572EF">
            <w:pPr>
              <w:rPr>
                <w:rFonts w:cs="Arial"/>
                <w:b w:val="0"/>
                <w:bCs w:val="0"/>
              </w:rPr>
            </w:pP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9496</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18,7</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19,2</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81,1</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84,1</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285,5</w:t>
            </w:r>
          </w:p>
        </w:tc>
      </w:tr>
      <w:tr w:rsidR="002C03B7" w:rsidRPr="000A2AB3" w:rsidTr="002C03B7">
        <w:tc>
          <w:tcPr>
            <w:cnfStyle w:val="001000000000" w:firstRow="0" w:lastRow="0" w:firstColumn="1" w:lastColumn="0" w:oddVBand="0" w:evenVBand="0" w:oddHBand="0" w:evenHBand="0" w:firstRowFirstColumn="0" w:firstRowLastColumn="0" w:lastRowFirstColumn="0" w:lastRowLastColumn="0"/>
            <w:tcW w:w="2027" w:type="dxa"/>
          </w:tcPr>
          <w:p w:rsidR="002C03B7" w:rsidRPr="000A2AB3" w:rsidRDefault="002C03B7" w:rsidP="00181592">
            <w:pPr>
              <w:rPr>
                <w:rFonts w:cs="Arial"/>
                <w:b w:val="0"/>
                <w:bCs w:val="0"/>
              </w:rPr>
            </w:pPr>
            <w:r w:rsidRPr="000A2AB3">
              <w:rPr>
                <w:rFonts w:cs="Arial"/>
                <w:b w:val="0"/>
                <w:bCs w:val="0"/>
              </w:rPr>
              <w:t>Liberecký</w:t>
            </w:r>
          </w:p>
        </w:tc>
        <w:tc>
          <w:tcPr>
            <w:tcW w:w="15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8179</w:t>
            </w:r>
          </w:p>
        </w:tc>
        <w:tc>
          <w:tcPr>
            <w:tcW w:w="1133"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17,0</w:t>
            </w:r>
          </w:p>
        </w:tc>
        <w:tc>
          <w:tcPr>
            <w:tcW w:w="1097"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19,0</w:t>
            </w:r>
          </w:p>
        </w:tc>
        <w:tc>
          <w:tcPr>
            <w:tcW w:w="1170" w:type="dxa"/>
            <w:gridSpan w:val="2"/>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78,0</w:t>
            </w:r>
          </w:p>
        </w:tc>
        <w:tc>
          <w:tcPr>
            <w:tcW w:w="112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80,2</w:t>
            </w:r>
          </w:p>
        </w:tc>
        <w:tc>
          <w:tcPr>
            <w:tcW w:w="1244" w:type="dxa"/>
          </w:tcPr>
          <w:p w:rsidR="002C03B7" w:rsidRPr="000A2AB3" w:rsidRDefault="002C03B7"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219,7</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181592">
            <w:pPr>
              <w:rPr>
                <w:rFonts w:cs="Arial"/>
                <w:b w:val="0"/>
                <w:bCs w:val="0"/>
              </w:rPr>
            </w:pPr>
            <w:r w:rsidRPr="000A2AB3">
              <w:rPr>
                <w:rFonts w:cs="Arial"/>
                <w:b w:val="0"/>
                <w:bCs w:val="0"/>
              </w:rPr>
              <w:t>Královéhradecký</w:t>
            </w: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9746</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15,6</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30,0</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95,1</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82,8</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283,3</w:t>
            </w:r>
          </w:p>
        </w:tc>
      </w:tr>
      <w:tr w:rsidR="00670578" w:rsidRPr="000A2AB3" w:rsidTr="002C03B7">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572EF">
            <w:pPr>
              <w:rPr>
                <w:rFonts w:cs="Arial"/>
                <w:b w:val="0"/>
                <w:bCs w:val="0"/>
              </w:rPr>
            </w:pPr>
          </w:p>
        </w:tc>
        <w:tc>
          <w:tcPr>
            <w:tcW w:w="15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10368</w:t>
            </w:r>
          </w:p>
        </w:tc>
        <w:tc>
          <w:tcPr>
            <w:tcW w:w="1133"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21,1</w:t>
            </w:r>
          </w:p>
        </w:tc>
        <w:tc>
          <w:tcPr>
            <w:tcW w:w="1097"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28,0</w:t>
            </w:r>
          </w:p>
        </w:tc>
        <w:tc>
          <w:tcPr>
            <w:tcW w:w="1170" w:type="dxa"/>
            <w:gridSpan w:val="2"/>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100,5</w:t>
            </w:r>
          </w:p>
        </w:tc>
        <w:tc>
          <w:tcPr>
            <w:tcW w:w="112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96,6</w:t>
            </w:r>
          </w:p>
        </w:tc>
        <w:tc>
          <w:tcPr>
            <w:tcW w:w="1244" w:type="dxa"/>
          </w:tcPr>
          <w:p w:rsidR="00670578" w:rsidRPr="000A2AB3" w:rsidRDefault="00670578" w:rsidP="006C6CC9">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295,8</w:t>
            </w:r>
          </w:p>
        </w:tc>
      </w:tr>
    </w:tbl>
    <w:p w:rsidR="00440560" w:rsidRPr="000A2AB3" w:rsidRDefault="00440560" w:rsidP="00414413">
      <w:pPr>
        <w:ind w:left="-190"/>
        <w:rPr>
          <w:rFonts w:cs="Arial"/>
          <w:bCs/>
        </w:rPr>
      </w:pPr>
    </w:p>
    <w:p w:rsidR="00440560" w:rsidRPr="000A2AB3" w:rsidRDefault="00440560" w:rsidP="00414413">
      <w:pPr>
        <w:ind w:left="-190"/>
        <w:rPr>
          <w:rFonts w:cs="Arial"/>
          <w:bCs/>
        </w:rPr>
      </w:pPr>
      <w:r w:rsidRPr="000A2AB3">
        <w:rPr>
          <w:rFonts w:cs="Arial"/>
          <w:bCs/>
        </w:rPr>
        <w:t xml:space="preserve">Obsahy energetické hodnoty a živin ve vzorcích byly porovnány s referenčními hodnotami pro příjem živin (DACH 2011). Úroveň plnění výživových doporučených dávek byly vyjádřeny v %, základní údaje pro porovnávání jsou uvedeny v následující tabulce. </w:t>
      </w:r>
    </w:p>
    <w:p w:rsidR="00440560" w:rsidRPr="000A2AB3" w:rsidRDefault="00440560" w:rsidP="00414413">
      <w:pPr>
        <w:ind w:left="-190"/>
        <w:rPr>
          <w:rFonts w:cs="Arial"/>
          <w:b/>
          <w:bCs/>
        </w:rPr>
      </w:pPr>
    </w:p>
    <w:p w:rsidR="00440560" w:rsidRPr="000A2AB3" w:rsidRDefault="00431209" w:rsidP="00414413">
      <w:pPr>
        <w:ind w:left="-190"/>
        <w:rPr>
          <w:rFonts w:cs="Arial"/>
          <w:bCs/>
        </w:rPr>
      </w:pPr>
      <w:r w:rsidRPr="000A2AB3">
        <w:rPr>
          <w:rFonts w:cs="Arial"/>
          <w:bCs/>
        </w:rPr>
        <w:t xml:space="preserve">Tabulka č. </w:t>
      </w:r>
      <w:r w:rsidR="006B6D78" w:rsidRPr="000A2AB3">
        <w:rPr>
          <w:rFonts w:cs="Arial"/>
          <w:bCs/>
        </w:rPr>
        <w:t xml:space="preserve">3 průměrné referenční dávky pro účely porovnání </w:t>
      </w:r>
      <w:r w:rsidRPr="000A2AB3">
        <w:rPr>
          <w:rFonts w:cs="Arial"/>
          <w:bCs/>
        </w:rPr>
        <w:t xml:space="preserve"> </w:t>
      </w:r>
    </w:p>
    <w:tbl>
      <w:tblPr>
        <w:tblStyle w:val="Stednmka3zvraznn4"/>
        <w:tblW w:w="9301" w:type="dxa"/>
        <w:tblLayout w:type="fixed"/>
        <w:tblLook w:val="04A0" w:firstRow="1" w:lastRow="0" w:firstColumn="1" w:lastColumn="0" w:noHBand="0" w:noVBand="1"/>
      </w:tblPr>
      <w:tblGrid>
        <w:gridCol w:w="2127"/>
        <w:gridCol w:w="1464"/>
        <w:gridCol w:w="945"/>
        <w:gridCol w:w="1134"/>
        <w:gridCol w:w="1221"/>
        <w:gridCol w:w="1108"/>
        <w:gridCol w:w="1302"/>
      </w:tblGrid>
      <w:tr w:rsidR="007C7D39" w:rsidRPr="000A2AB3" w:rsidTr="002C0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C7D39" w:rsidRPr="000A2AB3" w:rsidRDefault="002C03B7" w:rsidP="00414413">
            <w:pPr>
              <w:rPr>
                <w:rFonts w:cs="Arial"/>
                <w:b w:val="0"/>
                <w:bCs w:val="0"/>
              </w:rPr>
            </w:pPr>
            <w:r w:rsidRPr="000A2AB3">
              <w:rPr>
                <w:rFonts w:cs="Arial"/>
                <w:b w:val="0"/>
                <w:bCs w:val="0"/>
              </w:rPr>
              <w:t>Referenční dávky (průměrné hodnoty)*</w:t>
            </w:r>
          </w:p>
        </w:tc>
        <w:tc>
          <w:tcPr>
            <w:tcW w:w="1464" w:type="dxa"/>
          </w:tcPr>
          <w:p w:rsidR="007C7D39" w:rsidRPr="000A2AB3" w:rsidRDefault="005A1AD6" w:rsidP="00414413">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e</w:t>
            </w:r>
            <w:r w:rsidR="00FF1C5D" w:rsidRPr="000A2AB3">
              <w:rPr>
                <w:rFonts w:cs="Arial"/>
                <w:b w:val="0"/>
                <w:bCs w:val="0"/>
              </w:rPr>
              <w:t>nergetická hodnota (kJ</w:t>
            </w:r>
            <w:r w:rsidR="00431209" w:rsidRPr="000A2AB3">
              <w:rPr>
                <w:rFonts w:cs="Arial"/>
                <w:b w:val="0"/>
                <w:bCs w:val="0"/>
              </w:rPr>
              <w:t>/den</w:t>
            </w:r>
            <w:r w:rsidR="00FF1C5D" w:rsidRPr="000A2AB3">
              <w:rPr>
                <w:rFonts w:cs="Arial"/>
                <w:b w:val="0"/>
                <w:bCs w:val="0"/>
              </w:rPr>
              <w:t>)</w:t>
            </w:r>
          </w:p>
        </w:tc>
        <w:tc>
          <w:tcPr>
            <w:tcW w:w="945" w:type="dxa"/>
          </w:tcPr>
          <w:p w:rsidR="007C7D39" w:rsidRPr="000A2AB3" w:rsidRDefault="005A1AD6" w:rsidP="00414413">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s</w:t>
            </w:r>
            <w:r w:rsidR="00FF1C5D" w:rsidRPr="000A2AB3">
              <w:rPr>
                <w:rFonts w:cs="Arial"/>
                <w:b w:val="0"/>
                <w:bCs w:val="0"/>
              </w:rPr>
              <w:t>ůl (g</w:t>
            </w:r>
            <w:r w:rsidR="00431209" w:rsidRPr="000A2AB3">
              <w:rPr>
                <w:rFonts w:cs="Arial"/>
                <w:b w:val="0"/>
                <w:bCs w:val="0"/>
              </w:rPr>
              <w:t>/den</w:t>
            </w:r>
            <w:r w:rsidR="00FF1C5D" w:rsidRPr="000A2AB3">
              <w:rPr>
                <w:rFonts w:cs="Arial"/>
                <w:b w:val="0"/>
                <w:bCs w:val="0"/>
              </w:rPr>
              <w:t>)</w:t>
            </w:r>
          </w:p>
        </w:tc>
        <w:tc>
          <w:tcPr>
            <w:tcW w:w="1134" w:type="dxa"/>
          </w:tcPr>
          <w:p w:rsidR="007C7D39" w:rsidRPr="000A2AB3" w:rsidRDefault="005A1AD6" w:rsidP="00414413">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v</w:t>
            </w:r>
            <w:r w:rsidR="00FF1C5D" w:rsidRPr="000A2AB3">
              <w:rPr>
                <w:rFonts w:cs="Arial"/>
                <w:b w:val="0"/>
                <w:bCs w:val="0"/>
              </w:rPr>
              <w:t>láknina (g</w:t>
            </w:r>
            <w:r w:rsidR="00431209" w:rsidRPr="000A2AB3">
              <w:rPr>
                <w:rFonts w:cs="Arial"/>
                <w:b w:val="0"/>
                <w:bCs w:val="0"/>
              </w:rPr>
              <w:t>/den</w:t>
            </w:r>
            <w:r w:rsidR="00FF1C5D" w:rsidRPr="000A2AB3">
              <w:rPr>
                <w:rFonts w:cs="Arial"/>
                <w:b w:val="0"/>
                <w:bCs w:val="0"/>
              </w:rPr>
              <w:t>)</w:t>
            </w:r>
          </w:p>
        </w:tc>
        <w:tc>
          <w:tcPr>
            <w:tcW w:w="1221" w:type="dxa"/>
          </w:tcPr>
          <w:p w:rsidR="007C7D39" w:rsidRPr="000A2AB3" w:rsidRDefault="005A1AD6" w:rsidP="00414413">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b</w:t>
            </w:r>
            <w:r w:rsidR="00FF1C5D" w:rsidRPr="000A2AB3">
              <w:rPr>
                <w:rFonts w:cs="Arial"/>
                <w:b w:val="0"/>
                <w:bCs w:val="0"/>
              </w:rPr>
              <w:t>ílkoviny (g</w:t>
            </w:r>
            <w:r w:rsidR="00431209" w:rsidRPr="000A2AB3">
              <w:rPr>
                <w:rFonts w:cs="Arial"/>
                <w:b w:val="0"/>
                <w:bCs w:val="0"/>
              </w:rPr>
              <w:t>/den</w:t>
            </w:r>
            <w:r w:rsidR="00FF1C5D" w:rsidRPr="000A2AB3">
              <w:rPr>
                <w:rFonts w:cs="Arial"/>
                <w:b w:val="0"/>
                <w:bCs w:val="0"/>
              </w:rPr>
              <w:t>)</w:t>
            </w:r>
          </w:p>
        </w:tc>
        <w:tc>
          <w:tcPr>
            <w:tcW w:w="1108" w:type="dxa"/>
          </w:tcPr>
          <w:p w:rsidR="007C7D39" w:rsidRPr="000A2AB3" w:rsidRDefault="005A1AD6" w:rsidP="00414413">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t</w:t>
            </w:r>
            <w:r w:rsidR="00FF1C5D" w:rsidRPr="000A2AB3">
              <w:rPr>
                <w:rFonts w:cs="Arial"/>
                <w:b w:val="0"/>
                <w:bCs w:val="0"/>
              </w:rPr>
              <w:t>uky (g</w:t>
            </w:r>
            <w:r w:rsidR="00431209" w:rsidRPr="000A2AB3">
              <w:rPr>
                <w:rFonts w:cs="Arial"/>
                <w:b w:val="0"/>
                <w:bCs w:val="0"/>
              </w:rPr>
              <w:t>/den</w:t>
            </w:r>
            <w:r w:rsidR="00FF1C5D" w:rsidRPr="000A2AB3">
              <w:rPr>
                <w:rFonts w:cs="Arial"/>
                <w:b w:val="0"/>
                <w:bCs w:val="0"/>
              </w:rPr>
              <w:t xml:space="preserve">) </w:t>
            </w:r>
          </w:p>
        </w:tc>
        <w:tc>
          <w:tcPr>
            <w:tcW w:w="1302" w:type="dxa"/>
          </w:tcPr>
          <w:p w:rsidR="007C7D39" w:rsidRPr="000A2AB3" w:rsidRDefault="005A1AD6" w:rsidP="00414413">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s</w:t>
            </w:r>
            <w:r w:rsidR="00FF1C5D" w:rsidRPr="000A2AB3">
              <w:rPr>
                <w:rFonts w:cs="Arial"/>
                <w:b w:val="0"/>
                <w:bCs w:val="0"/>
              </w:rPr>
              <w:t>acharidy (g</w:t>
            </w:r>
            <w:r w:rsidR="00431209" w:rsidRPr="000A2AB3">
              <w:rPr>
                <w:rFonts w:cs="Arial"/>
                <w:b w:val="0"/>
                <w:bCs w:val="0"/>
              </w:rPr>
              <w:t>/den</w:t>
            </w:r>
            <w:r w:rsidR="00FF1C5D" w:rsidRPr="000A2AB3">
              <w:rPr>
                <w:rFonts w:cs="Arial"/>
                <w:b w:val="0"/>
                <w:bCs w:val="0"/>
              </w:rPr>
              <w:t>)</w:t>
            </w:r>
          </w:p>
        </w:tc>
      </w:tr>
      <w:tr w:rsidR="007C7D39" w:rsidRPr="000A2AB3" w:rsidTr="002C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C7D39" w:rsidRPr="000A2AB3" w:rsidRDefault="00FF1C5D" w:rsidP="002C03B7">
            <w:pPr>
              <w:rPr>
                <w:rFonts w:cs="Arial"/>
                <w:b w:val="0"/>
                <w:bCs w:val="0"/>
              </w:rPr>
            </w:pPr>
            <w:r w:rsidRPr="000A2AB3">
              <w:rPr>
                <w:rFonts w:cs="Arial"/>
                <w:b w:val="0"/>
                <w:bCs w:val="0"/>
              </w:rPr>
              <w:t>pro seniory</w:t>
            </w:r>
          </w:p>
        </w:tc>
        <w:tc>
          <w:tcPr>
            <w:tcW w:w="1464" w:type="dxa"/>
          </w:tcPr>
          <w:p w:rsidR="007C7D39" w:rsidRPr="000A2AB3" w:rsidRDefault="00FF1C5D" w:rsidP="005A1AD6">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8000</w:t>
            </w:r>
          </w:p>
        </w:tc>
        <w:tc>
          <w:tcPr>
            <w:tcW w:w="945" w:type="dxa"/>
          </w:tcPr>
          <w:p w:rsidR="007C7D39" w:rsidRPr="000A2AB3" w:rsidRDefault="00FF1C5D" w:rsidP="005A1AD6">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w:t>
            </w:r>
          </w:p>
        </w:tc>
        <w:tc>
          <w:tcPr>
            <w:tcW w:w="1134" w:type="dxa"/>
          </w:tcPr>
          <w:p w:rsidR="007C7D39" w:rsidRPr="000A2AB3" w:rsidRDefault="00FF1C5D" w:rsidP="005A1AD6">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30</w:t>
            </w:r>
          </w:p>
        </w:tc>
        <w:tc>
          <w:tcPr>
            <w:tcW w:w="1221" w:type="dxa"/>
          </w:tcPr>
          <w:p w:rsidR="007C7D39" w:rsidRPr="000A2AB3" w:rsidRDefault="00FF1C5D" w:rsidP="005A1AD6">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54</w:t>
            </w:r>
          </w:p>
          <w:p w:rsidR="00FF1C5D" w:rsidRPr="000A2AB3" w:rsidRDefault="00FF1C5D" w:rsidP="005A1AD6">
            <w:pPr>
              <w:jc w:val="center"/>
              <w:cnfStyle w:val="000000100000" w:firstRow="0" w:lastRow="0" w:firstColumn="0" w:lastColumn="0" w:oddVBand="0" w:evenVBand="0" w:oddHBand="1" w:evenHBand="0" w:firstRowFirstColumn="0" w:firstRowLastColumn="0" w:lastRowFirstColumn="0" w:lastRowLastColumn="0"/>
              <w:rPr>
                <w:rFonts w:cs="Arial"/>
                <w:bCs/>
              </w:rPr>
            </w:pPr>
          </w:p>
        </w:tc>
        <w:tc>
          <w:tcPr>
            <w:tcW w:w="1108" w:type="dxa"/>
          </w:tcPr>
          <w:p w:rsidR="007C7D39" w:rsidRPr="000A2AB3" w:rsidRDefault="00FF1C5D" w:rsidP="005A1AD6">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64</w:t>
            </w:r>
          </w:p>
        </w:tc>
        <w:tc>
          <w:tcPr>
            <w:tcW w:w="1302" w:type="dxa"/>
          </w:tcPr>
          <w:p w:rsidR="007C7D39" w:rsidRPr="000A2AB3" w:rsidRDefault="00FF1C5D" w:rsidP="005A1AD6">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275</w:t>
            </w:r>
          </w:p>
        </w:tc>
      </w:tr>
      <w:tr w:rsidR="007C7D39" w:rsidRPr="000A2AB3" w:rsidTr="002C03B7">
        <w:tc>
          <w:tcPr>
            <w:cnfStyle w:val="001000000000" w:firstRow="0" w:lastRow="0" w:firstColumn="1" w:lastColumn="0" w:oddVBand="0" w:evenVBand="0" w:oddHBand="0" w:evenHBand="0" w:firstRowFirstColumn="0" w:firstRowLastColumn="0" w:lastRowFirstColumn="0" w:lastRowLastColumn="0"/>
            <w:tcW w:w="2127" w:type="dxa"/>
          </w:tcPr>
          <w:p w:rsidR="007C7D39" w:rsidRPr="000A2AB3" w:rsidRDefault="00FF1C5D" w:rsidP="002C03B7">
            <w:pPr>
              <w:rPr>
                <w:rFonts w:cs="Arial"/>
                <w:b w:val="0"/>
                <w:bCs w:val="0"/>
              </w:rPr>
            </w:pPr>
            <w:r w:rsidRPr="000A2AB3">
              <w:rPr>
                <w:rFonts w:cs="Arial"/>
                <w:b w:val="0"/>
                <w:bCs w:val="0"/>
              </w:rPr>
              <w:t>pro kojící ženy &gt; 25 let</w:t>
            </w:r>
          </w:p>
        </w:tc>
        <w:tc>
          <w:tcPr>
            <w:tcW w:w="1464" w:type="dxa"/>
          </w:tcPr>
          <w:p w:rsidR="007C7D39" w:rsidRPr="000A2AB3" w:rsidRDefault="00FF1C5D" w:rsidP="005A1AD6">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11700</w:t>
            </w:r>
          </w:p>
        </w:tc>
        <w:tc>
          <w:tcPr>
            <w:tcW w:w="945" w:type="dxa"/>
          </w:tcPr>
          <w:p w:rsidR="007C7D39" w:rsidRPr="000A2AB3" w:rsidRDefault="00FF1C5D" w:rsidP="005A1AD6">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w:t>
            </w:r>
          </w:p>
        </w:tc>
        <w:tc>
          <w:tcPr>
            <w:tcW w:w="1134" w:type="dxa"/>
          </w:tcPr>
          <w:p w:rsidR="007C7D39" w:rsidRPr="000A2AB3" w:rsidRDefault="00FF1C5D" w:rsidP="005A1AD6">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30</w:t>
            </w:r>
          </w:p>
        </w:tc>
        <w:tc>
          <w:tcPr>
            <w:tcW w:w="1221" w:type="dxa"/>
          </w:tcPr>
          <w:p w:rsidR="007C7D39" w:rsidRPr="000A2AB3" w:rsidRDefault="00FF1C5D" w:rsidP="005A1AD6">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63</w:t>
            </w:r>
          </w:p>
        </w:tc>
        <w:tc>
          <w:tcPr>
            <w:tcW w:w="1108" w:type="dxa"/>
          </w:tcPr>
          <w:p w:rsidR="007C7D39" w:rsidRPr="000A2AB3" w:rsidRDefault="00FF1C5D" w:rsidP="005A1AD6">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110</w:t>
            </w:r>
          </w:p>
        </w:tc>
        <w:tc>
          <w:tcPr>
            <w:tcW w:w="1302" w:type="dxa"/>
          </w:tcPr>
          <w:p w:rsidR="007C7D39" w:rsidRPr="000A2AB3" w:rsidRDefault="00FF1C5D" w:rsidP="005A1AD6">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378</w:t>
            </w:r>
          </w:p>
        </w:tc>
      </w:tr>
    </w:tbl>
    <w:p w:rsidR="007C7D39" w:rsidRPr="000A2AB3" w:rsidRDefault="00440560" w:rsidP="002C03B7">
      <w:pPr>
        <w:pStyle w:val="Odstavecseseznamem"/>
        <w:ind w:left="0"/>
        <w:jc w:val="both"/>
        <w:rPr>
          <w:rFonts w:ascii="Arial" w:hAnsi="Arial" w:cs="Arial"/>
          <w:bCs/>
          <w:sz w:val="20"/>
          <w:szCs w:val="20"/>
        </w:rPr>
      </w:pPr>
      <w:r w:rsidRPr="000A2AB3">
        <w:rPr>
          <w:rFonts w:ascii="Arial" w:hAnsi="Arial" w:cs="Arial"/>
          <w:bCs/>
          <w:sz w:val="20"/>
          <w:szCs w:val="20"/>
        </w:rPr>
        <w:t xml:space="preserve">* </w:t>
      </w:r>
      <w:r w:rsidR="00FF1C5D" w:rsidRPr="000A2AB3">
        <w:rPr>
          <w:rFonts w:ascii="Arial" w:hAnsi="Arial" w:cs="Arial"/>
          <w:bCs/>
          <w:sz w:val="20"/>
          <w:szCs w:val="20"/>
        </w:rPr>
        <w:t>DGE, Ő</w:t>
      </w:r>
      <w:r w:rsidRPr="000A2AB3">
        <w:rPr>
          <w:rFonts w:ascii="Arial" w:hAnsi="Arial" w:cs="Arial"/>
          <w:bCs/>
          <w:sz w:val="20"/>
          <w:szCs w:val="20"/>
        </w:rPr>
        <w:t>GE, SGE, SVE ET AL., Společnost pro výživu o.s., Výživaservis, Referenční hodnoty pro příjem živin, Praha: Společnost pro výživu, 2011, v ČR 1. vydání, 192 s., ISBN 978-80-254-6987-3</w:t>
      </w:r>
    </w:p>
    <w:p w:rsidR="000C70E6" w:rsidRPr="000A2AB3" w:rsidRDefault="000C70E6" w:rsidP="00414413">
      <w:pPr>
        <w:ind w:left="-190"/>
        <w:rPr>
          <w:rFonts w:cs="Arial"/>
          <w:b/>
          <w:bCs/>
        </w:rPr>
      </w:pPr>
    </w:p>
    <w:p w:rsidR="00F2262B" w:rsidRPr="000A2AB3" w:rsidRDefault="00F2262B" w:rsidP="000250D3">
      <w:pPr>
        <w:rPr>
          <w:rFonts w:cs="Arial"/>
          <w:bCs/>
        </w:rPr>
      </w:pPr>
      <w:r w:rsidRPr="000A2AB3">
        <w:rPr>
          <w:rFonts w:cs="Arial"/>
          <w:bCs/>
        </w:rPr>
        <w:t>Tabulka</w:t>
      </w:r>
      <w:r w:rsidR="002C03B7" w:rsidRPr="000A2AB3">
        <w:rPr>
          <w:rFonts w:cs="Arial"/>
          <w:bCs/>
        </w:rPr>
        <w:t xml:space="preserve"> č. </w:t>
      </w:r>
      <w:r w:rsidR="006B6D78" w:rsidRPr="000A2AB3">
        <w:rPr>
          <w:rFonts w:cs="Arial"/>
          <w:bCs/>
        </w:rPr>
        <w:t>4</w:t>
      </w:r>
      <w:r w:rsidRPr="000A2AB3">
        <w:rPr>
          <w:rFonts w:cs="Arial"/>
          <w:bCs/>
        </w:rPr>
        <w:t>: Orientační porovnání plnění výživových dávek vybraných živin (porovnání laboratorně zjištěné průměrné hodnoty (bez započtení nejistoty) s průměrnými referenčními hodnotami stanovenými podle DACH) – zdravotnická zařízení</w:t>
      </w:r>
    </w:p>
    <w:tbl>
      <w:tblPr>
        <w:tblStyle w:val="Stednmka3zvraznn5"/>
        <w:tblW w:w="9313" w:type="dxa"/>
        <w:tblLook w:val="04A0" w:firstRow="1" w:lastRow="0" w:firstColumn="1" w:lastColumn="0" w:noHBand="0" w:noVBand="1"/>
      </w:tblPr>
      <w:tblGrid>
        <w:gridCol w:w="2026"/>
        <w:gridCol w:w="1544"/>
        <w:gridCol w:w="1038"/>
        <w:gridCol w:w="1078"/>
        <w:gridCol w:w="1132"/>
        <w:gridCol w:w="1277"/>
        <w:gridCol w:w="1218"/>
      </w:tblGrid>
      <w:tr w:rsidR="00AB7D4D" w:rsidRPr="000A2AB3" w:rsidTr="00996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2C03B7" w:rsidP="00AB7D4D">
            <w:pPr>
              <w:rPr>
                <w:rFonts w:cs="Arial"/>
                <w:b w:val="0"/>
                <w:bCs w:val="0"/>
              </w:rPr>
            </w:pPr>
            <w:r w:rsidRPr="000A2AB3">
              <w:rPr>
                <w:rFonts w:cs="Arial"/>
                <w:b w:val="0"/>
                <w:bCs w:val="0"/>
              </w:rPr>
              <w:t>kraj</w:t>
            </w:r>
          </w:p>
        </w:tc>
        <w:tc>
          <w:tcPr>
            <w:tcW w:w="1544" w:type="dxa"/>
          </w:tcPr>
          <w:p w:rsidR="00AB7D4D" w:rsidRPr="000A2AB3" w:rsidRDefault="00AB7D4D" w:rsidP="00F2262B">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energetická hodnota (</w:t>
            </w:r>
            <w:r w:rsidR="00F2262B" w:rsidRPr="000A2AB3">
              <w:rPr>
                <w:rFonts w:cs="Arial"/>
                <w:b w:val="0"/>
                <w:bCs w:val="0"/>
              </w:rPr>
              <w:t>%</w:t>
            </w:r>
            <w:r w:rsidRPr="000A2AB3">
              <w:rPr>
                <w:rFonts w:cs="Arial"/>
                <w:b w:val="0"/>
                <w:bCs w:val="0"/>
              </w:rPr>
              <w:t>)</w:t>
            </w:r>
          </w:p>
        </w:tc>
        <w:tc>
          <w:tcPr>
            <w:tcW w:w="1038" w:type="dxa"/>
          </w:tcPr>
          <w:p w:rsidR="00AB7D4D" w:rsidRPr="000A2AB3" w:rsidRDefault="00AB7D4D" w:rsidP="00F2262B">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sůl (</w:t>
            </w:r>
            <w:r w:rsidR="00F2262B" w:rsidRPr="000A2AB3">
              <w:rPr>
                <w:rFonts w:cs="Arial"/>
                <w:b w:val="0"/>
                <w:bCs w:val="0"/>
              </w:rPr>
              <w:t>%</w:t>
            </w:r>
            <w:r w:rsidRPr="000A2AB3">
              <w:rPr>
                <w:rFonts w:cs="Arial"/>
                <w:b w:val="0"/>
                <w:bCs w:val="0"/>
              </w:rPr>
              <w:t>)</w:t>
            </w:r>
          </w:p>
        </w:tc>
        <w:tc>
          <w:tcPr>
            <w:tcW w:w="1078" w:type="dxa"/>
          </w:tcPr>
          <w:p w:rsidR="00AB7D4D" w:rsidRPr="000A2AB3" w:rsidRDefault="00AB7D4D" w:rsidP="00F2262B">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vláknina (</w:t>
            </w:r>
            <w:r w:rsidR="00F2262B" w:rsidRPr="000A2AB3">
              <w:rPr>
                <w:rFonts w:cs="Arial"/>
                <w:b w:val="0"/>
                <w:bCs w:val="0"/>
              </w:rPr>
              <w:t>%</w:t>
            </w:r>
            <w:r w:rsidRPr="000A2AB3">
              <w:rPr>
                <w:rFonts w:cs="Arial"/>
                <w:b w:val="0"/>
                <w:bCs w:val="0"/>
              </w:rPr>
              <w:t>)</w:t>
            </w:r>
          </w:p>
        </w:tc>
        <w:tc>
          <w:tcPr>
            <w:tcW w:w="1132" w:type="dxa"/>
          </w:tcPr>
          <w:p w:rsidR="00AB7D4D" w:rsidRPr="000A2AB3" w:rsidRDefault="00AB7D4D" w:rsidP="00F2262B">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bílkoviny (</w:t>
            </w:r>
            <w:r w:rsidR="00F2262B" w:rsidRPr="000A2AB3">
              <w:rPr>
                <w:rFonts w:cs="Arial"/>
                <w:b w:val="0"/>
                <w:bCs w:val="0"/>
              </w:rPr>
              <w:t>%</w:t>
            </w:r>
            <w:r w:rsidRPr="000A2AB3">
              <w:rPr>
                <w:rFonts w:cs="Arial"/>
                <w:b w:val="0"/>
                <w:bCs w:val="0"/>
              </w:rPr>
              <w:t>)</w:t>
            </w:r>
          </w:p>
        </w:tc>
        <w:tc>
          <w:tcPr>
            <w:tcW w:w="1277" w:type="dxa"/>
          </w:tcPr>
          <w:p w:rsidR="00AB7D4D" w:rsidRPr="000A2AB3" w:rsidRDefault="00AB7D4D" w:rsidP="00F2262B">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 xml:space="preserve">tuky </w:t>
            </w:r>
            <w:r w:rsidR="00F2262B" w:rsidRPr="000A2AB3">
              <w:rPr>
                <w:rFonts w:cs="Arial"/>
                <w:b w:val="0"/>
                <w:bCs w:val="0"/>
              </w:rPr>
              <w:t>(%</w:t>
            </w:r>
            <w:r w:rsidRPr="000A2AB3">
              <w:rPr>
                <w:rFonts w:cs="Arial"/>
                <w:b w:val="0"/>
                <w:bCs w:val="0"/>
              </w:rPr>
              <w:t>)</w:t>
            </w:r>
          </w:p>
        </w:tc>
        <w:tc>
          <w:tcPr>
            <w:tcW w:w="1218" w:type="dxa"/>
          </w:tcPr>
          <w:p w:rsidR="00AB7D4D" w:rsidRPr="000A2AB3" w:rsidRDefault="00AB7D4D" w:rsidP="00F2262B">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sacharidy (</w:t>
            </w:r>
            <w:r w:rsidR="00F2262B" w:rsidRPr="000A2AB3">
              <w:rPr>
                <w:rFonts w:cs="Arial"/>
                <w:b w:val="0"/>
                <w:bCs w:val="0"/>
              </w:rPr>
              <w:t>%</w:t>
            </w:r>
            <w:r w:rsidRPr="000A2AB3">
              <w:rPr>
                <w:rFonts w:cs="Arial"/>
                <w:b w:val="0"/>
                <w:bCs w:val="0"/>
              </w:rPr>
              <w:t>)</w:t>
            </w:r>
          </w:p>
        </w:tc>
      </w:tr>
      <w:tr w:rsidR="00AB7D4D"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Karlovarský</w:t>
            </w:r>
          </w:p>
        </w:tc>
        <w:tc>
          <w:tcPr>
            <w:tcW w:w="1544"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76</w:t>
            </w:r>
          </w:p>
        </w:tc>
        <w:tc>
          <w:tcPr>
            <w:tcW w:w="103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258</w:t>
            </w:r>
          </w:p>
        </w:tc>
        <w:tc>
          <w:tcPr>
            <w:tcW w:w="107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89</w:t>
            </w:r>
          </w:p>
        </w:tc>
        <w:tc>
          <w:tcPr>
            <w:tcW w:w="1132"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132</w:t>
            </w:r>
          </w:p>
        </w:tc>
        <w:tc>
          <w:tcPr>
            <w:tcW w:w="1277"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69</w:t>
            </w:r>
          </w:p>
        </w:tc>
        <w:tc>
          <w:tcPr>
            <w:tcW w:w="1218"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70</w:t>
            </w:r>
          </w:p>
        </w:tc>
      </w:tr>
      <w:tr w:rsidR="00670578" w:rsidRPr="000A2AB3" w:rsidTr="00996E9C">
        <w:tc>
          <w:tcPr>
            <w:cnfStyle w:val="001000000000" w:firstRow="0" w:lastRow="0" w:firstColumn="1" w:lastColumn="0" w:oddVBand="0" w:evenVBand="0" w:oddHBand="0" w:evenHBand="0" w:firstRowFirstColumn="0" w:firstRowLastColumn="0" w:lastRowFirstColumn="0" w:lastRowLastColumn="0"/>
            <w:tcW w:w="2026" w:type="dxa"/>
            <w:vMerge w:val="restart"/>
          </w:tcPr>
          <w:p w:rsidR="00670578" w:rsidRPr="000A2AB3" w:rsidRDefault="00670578" w:rsidP="00AB7D4D">
            <w:pPr>
              <w:rPr>
                <w:rFonts w:cs="Arial"/>
                <w:b w:val="0"/>
                <w:bCs w:val="0"/>
              </w:rPr>
            </w:pPr>
            <w:r w:rsidRPr="000A2AB3">
              <w:rPr>
                <w:rFonts w:cs="Arial"/>
                <w:b w:val="0"/>
                <w:bCs w:val="0"/>
              </w:rPr>
              <w:t>Zlínský</w:t>
            </w:r>
          </w:p>
        </w:tc>
        <w:tc>
          <w:tcPr>
            <w:tcW w:w="15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66</w:t>
            </w:r>
          </w:p>
        </w:tc>
        <w:tc>
          <w:tcPr>
            <w:tcW w:w="1038"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163</w:t>
            </w:r>
          </w:p>
        </w:tc>
        <w:tc>
          <w:tcPr>
            <w:tcW w:w="1078"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100</w:t>
            </w:r>
          </w:p>
        </w:tc>
        <w:tc>
          <w:tcPr>
            <w:tcW w:w="1132"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121</w:t>
            </w:r>
          </w:p>
        </w:tc>
        <w:tc>
          <w:tcPr>
            <w:tcW w:w="1277"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43</w:t>
            </w:r>
          </w:p>
        </w:tc>
        <w:tc>
          <w:tcPr>
            <w:tcW w:w="1218"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69</w:t>
            </w:r>
          </w:p>
        </w:tc>
      </w:tr>
      <w:tr w:rsidR="00670578"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vMerge/>
          </w:tcPr>
          <w:p w:rsidR="00670578" w:rsidRPr="000A2AB3" w:rsidRDefault="00670578" w:rsidP="00AB7D4D">
            <w:pPr>
              <w:rPr>
                <w:rFonts w:cs="Arial"/>
                <w:b w:val="0"/>
                <w:bCs w:val="0"/>
              </w:rPr>
            </w:pPr>
          </w:p>
        </w:tc>
        <w:tc>
          <w:tcPr>
            <w:tcW w:w="15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108</w:t>
            </w:r>
          </w:p>
        </w:tc>
        <w:tc>
          <w:tcPr>
            <w:tcW w:w="1038"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223</w:t>
            </w:r>
          </w:p>
        </w:tc>
        <w:tc>
          <w:tcPr>
            <w:tcW w:w="1078"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137</w:t>
            </w:r>
          </w:p>
        </w:tc>
        <w:tc>
          <w:tcPr>
            <w:tcW w:w="1132"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187</w:t>
            </w:r>
          </w:p>
        </w:tc>
        <w:tc>
          <w:tcPr>
            <w:tcW w:w="1277"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61</w:t>
            </w:r>
          </w:p>
        </w:tc>
        <w:tc>
          <w:tcPr>
            <w:tcW w:w="1218"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118</w:t>
            </w:r>
          </w:p>
        </w:tc>
      </w:tr>
      <w:tr w:rsidR="00AB7D4D" w:rsidRPr="000A2AB3" w:rsidTr="00996E9C">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Moravskoslezský</w:t>
            </w:r>
          </w:p>
        </w:tc>
        <w:tc>
          <w:tcPr>
            <w:tcW w:w="1544"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61</w:t>
            </w:r>
          </w:p>
        </w:tc>
        <w:tc>
          <w:tcPr>
            <w:tcW w:w="103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140</w:t>
            </w:r>
          </w:p>
        </w:tc>
        <w:tc>
          <w:tcPr>
            <w:tcW w:w="107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74</w:t>
            </w:r>
          </w:p>
        </w:tc>
        <w:tc>
          <w:tcPr>
            <w:tcW w:w="1132"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98</w:t>
            </w:r>
          </w:p>
        </w:tc>
        <w:tc>
          <w:tcPr>
            <w:tcW w:w="1277"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50</w:t>
            </w:r>
          </w:p>
        </w:tc>
        <w:tc>
          <w:tcPr>
            <w:tcW w:w="1218"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59</w:t>
            </w:r>
          </w:p>
        </w:tc>
      </w:tr>
      <w:tr w:rsidR="00AB7D4D"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Vysočina</w:t>
            </w:r>
          </w:p>
        </w:tc>
        <w:tc>
          <w:tcPr>
            <w:tcW w:w="1544"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82</w:t>
            </w:r>
          </w:p>
        </w:tc>
        <w:tc>
          <w:tcPr>
            <w:tcW w:w="103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150</w:t>
            </w:r>
          </w:p>
        </w:tc>
        <w:tc>
          <w:tcPr>
            <w:tcW w:w="107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94</w:t>
            </w:r>
          </w:p>
        </w:tc>
        <w:tc>
          <w:tcPr>
            <w:tcW w:w="1132"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135</w:t>
            </w:r>
          </w:p>
        </w:tc>
        <w:tc>
          <w:tcPr>
            <w:tcW w:w="1277"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63</w:t>
            </w:r>
          </w:p>
        </w:tc>
        <w:tc>
          <w:tcPr>
            <w:tcW w:w="1218"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81</w:t>
            </w:r>
          </w:p>
        </w:tc>
      </w:tr>
      <w:tr w:rsidR="00AB7D4D" w:rsidRPr="000A2AB3" w:rsidTr="00996E9C">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Olomoucký</w:t>
            </w:r>
          </w:p>
        </w:tc>
        <w:tc>
          <w:tcPr>
            <w:tcW w:w="1544"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74</w:t>
            </w:r>
          </w:p>
        </w:tc>
        <w:tc>
          <w:tcPr>
            <w:tcW w:w="103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185</w:t>
            </w:r>
          </w:p>
        </w:tc>
        <w:tc>
          <w:tcPr>
            <w:tcW w:w="107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85</w:t>
            </w:r>
          </w:p>
        </w:tc>
        <w:tc>
          <w:tcPr>
            <w:tcW w:w="1132"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137</w:t>
            </w:r>
          </w:p>
        </w:tc>
        <w:tc>
          <w:tcPr>
            <w:tcW w:w="1277"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49</w:t>
            </w:r>
          </w:p>
        </w:tc>
        <w:tc>
          <w:tcPr>
            <w:tcW w:w="1218"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78</w:t>
            </w:r>
          </w:p>
        </w:tc>
      </w:tr>
      <w:tr w:rsidR="00AB7D4D"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Plzeňský</w:t>
            </w:r>
          </w:p>
        </w:tc>
        <w:tc>
          <w:tcPr>
            <w:tcW w:w="1544"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89</w:t>
            </w:r>
          </w:p>
        </w:tc>
        <w:tc>
          <w:tcPr>
            <w:tcW w:w="103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317</w:t>
            </w:r>
          </w:p>
        </w:tc>
        <w:tc>
          <w:tcPr>
            <w:tcW w:w="107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102</w:t>
            </w:r>
          </w:p>
        </w:tc>
        <w:tc>
          <w:tcPr>
            <w:tcW w:w="1132"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172</w:t>
            </w:r>
          </w:p>
        </w:tc>
        <w:tc>
          <w:tcPr>
            <w:tcW w:w="1277"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68</w:t>
            </w:r>
          </w:p>
        </w:tc>
        <w:tc>
          <w:tcPr>
            <w:tcW w:w="1218"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86</w:t>
            </w:r>
          </w:p>
        </w:tc>
      </w:tr>
      <w:tr w:rsidR="00AB7D4D" w:rsidRPr="000A2AB3" w:rsidTr="00996E9C">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FB45CF" w:rsidP="00AB7D4D">
            <w:pPr>
              <w:rPr>
                <w:rFonts w:cs="Arial"/>
                <w:b w:val="0"/>
                <w:bCs w:val="0"/>
              </w:rPr>
            </w:pPr>
            <w:r w:rsidRPr="000A2AB3">
              <w:rPr>
                <w:rFonts w:cs="Arial"/>
                <w:b w:val="0"/>
                <w:bCs w:val="0"/>
              </w:rPr>
              <w:t>Pardubický</w:t>
            </w:r>
          </w:p>
        </w:tc>
        <w:tc>
          <w:tcPr>
            <w:tcW w:w="1544"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93</w:t>
            </w:r>
          </w:p>
        </w:tc>
        <w:tc>
          <w:tcPr>
            <w:tcW w:w="103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603</w:t>
            </w:r>
          </w:p>
        </w:tc>
        <w:tc>
          <w:tcPr>
            <w:tcW w:w="107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101</w:t>
            </w:r>
          </w:p>
        </w:tc>
        <w:tc>
          <w:tcPr>
            <w:tcW w:w="1132"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156</w:t>
            </w:r>
          </w:p>
        </w:tc>
        <w:tc>
          <w:tcPr>
            <w:tcW w:w="1277"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70</w:t>
            </w:r>
          </w:p>
        </w:tc>
        <w:tc>
          <w:tcPr>
            <w:tcW w:w="1218"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95</w:t>
            </w:r>
          </w:p>
        </w:tc>
      </w:tr>
      <w:tr w:rsidR="00AB7D4D"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Jihomoravský</w:t>
            </w:r>
          </w:p>
        </w:tc>
        <w:tc>
          <w:tcPr>
            <w:tcW w:w="1544"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73</w:t>
            </w:r>
          </w:p>
        </w:tc>
        <w:tc>
          <w:tcPr>
            <w:tcW w:w="103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185</w:t>
            </w:r>
          </w:p>
        </w:tc>
        <w:tc>
          <w:tcPr>
            <w:tcW w:w="107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50</w:t>
            </w:r>
          </w:p>
        </w:tc>
        <w:tc>
          <w:tcPr>
            <w:tcW w:w="1132"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119</w:t>
            </w:r>
          </w:p>
        </w:tc>
        <w:tc>
          <w:tcPr>
            <w:tcW w:w="1277"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59</w:t>
            </w:r>
          </w:p>
        </w:tc>
        <w:tc>
          <w:tcPr>
            <w:tcW w:w="1218"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168</w:t>
            </w:r>
          </w:p>
        </w:tc>
      </w:tr>
      <w:tr w:rsidR="00670578" w:rsidRPr="000A2AB3" w:rsidTr="00996E9C">
        <w:tc>
          <w:tcPr>
            <w:cnfStyle w:val="001000000000" w:firstRow="0" w:lastRow="0" w:firstColumn="1" w:lastColumn="0" w:oddVBand="0" w:evenVBand="0" w:oddHBand="0" w:evenHBand="0" w:firstRowFirstColumn="0" w:firstRowLastColumn="0" w:lastRowFirstColumn="0" w:lastRowLastColumn="0"/>
            <w:tcW w:w="2026" w:type="dxa"/>
            <w:vMerge w:val="restart"/>
          </w:tcPr>
          <w:p w:rsidR="00670578" w:rsidRPr="000A2AB3" w:rsidRDefault="00670578" w:rsidP="00AB7D4D">
            <w:pPr>
              <w:rPr>
                <w:rFonts w:cs="Arial"/>
                <w:b w:val="0"/>
                <w:bCs w:val="0"/>
              </w:rPr>
            </w:pPr>
            <w:r w:rsidRPr="000A2AB3">
              <w:rPr>
                <w:rFonts w:cs="Arial"/>
                <w:b w:val="0"/>
                <w:bCs w:val="0"/>
              </w:rPr>
              <w:t>Hl. město Praha</w:t>
            </w:r>
          </w:p>
        </w:tc>
        <w:tc>
          <w:tcPr>
            <w:tcW w:w="15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80</w:t>
            </w:r>
          </w:p>
        </w:tc>
        <w:tc>
          <w:tcPr>
            <w:tcW w:w="1038"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297</w:t>
            </w:r>
          </w:p>
        </w:tc>
        <w:tc>
          <w:tcPr>
            <w:tcW w:w="1078"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92</w:t>
            </w:r>
          </w:p>
        </w:tc>
        <w:tc>
          <w:tcPr>
            <w:tcW w:w="1132"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161</w:t>
            </w:r>
          </w:p>
        </w:tc>
        <w:tc>
          <w:tcPr>
            <w:tcW w:w="1277"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65</w:t>
            </w:r>
          </w:p>
        </w:tc>
        <w:tc>
          <w:tcPr>
            <w:tcW w:w="1218"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75</w:t>
            </w:r>
          </w:p>
        </w:tc>
      </w:tr>
      <w:tr w:rsidR="00670578"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vMerge/>
          </w:tcPr>
          <w:p w:rsidR="00670578" w:rsidRPr="000A2AB3" w:rsidRDefault="00670578" w:rsidP="00AB7D4D">
            <w:pPr>
              <w:rPr>
                <w:rFonts w:cs="Arial"/>
                <w:b w:val="0"/>
                <w:bCs w:val="0"/>
              </w:rPr>
            </w:pPr>
          </w:p>
        </w:tc>
        <w:tc>
          <w:tcPr>
            <w:tcW w:w="15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106</w:t>
            </w:r>
          </w:p>
        </w:tc>
        <w:tc>
          <w:tcPr>
            <w:tcW w:w="1038"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308</w:t>
            </w:r>
          </w:p>
        </w:tc>
        <w:tc>
          <w:tcPr>
            <w:tcW w:w="1078"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91</w:t>
            </w:r>
          </w:p>
        </w:tc>
        <w:tc>
          <w:tcPr>
            <w:tcW w:w="1132"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172</w:t>
            </w:r>
          </w:p>
        </w:tc>
        <w:tc>
          <w:tcPr>
            <w:tcW w:w="1277"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95</w:t>
            </w:r>
          </w:p>
        </w:tc>
        <w:tc>
          <w:tcPr>
            <w:tcW w:w="1218"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100</w:t>
            </w:r>
          </w:p>
        </w:tc>
      </w:tr>
      <w:tr w:rsidR="00AB7D4D" w:rsidRPr="000A2AB3" w:rsidTr="00996E9C">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Středočeský</w:t>
            </w:r>
          </w:p>
        </w:tc>
        <w:tc>
          <w:tcPr>
            <w:tcW w:w="1544"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95</w:t>
            </w:r>
          </w:p>
        </w:tc>
        <w:tc>
          <w:tcPr>
            <w:tcW w:w="103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255</w:t>
            </w:r>
          </w:p>
        </w:tc>
        <w:tc>
          <w:tcPr>
            <w:tcW w:w="107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120</w:t>
            </w:r>
          </w:p>
        </w:tc>
        <w:tc>
          <w:tcPr>
            <w:tcW w:w="1132"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174</w:t>
            </w:r>
          </w:p>
        </w:tc>
        <w:tc>
          <w:tcPr>
            <w:tcW w:w="1277"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72</w:t>
            </w:r>
          </w:p>
        </w:tc>
        <w:tc>
          <w:tcPr>
            <w:tcW w:w="1218"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93</w:t>
            </w:r>
          </w:p>
        </w:tc>
      </w:tr>
      <w:tr w:rsidR="00AB7D4D"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Ústecký</w:t>
            </w:r>
          </w:p>
        </w:tc>
        <w:tc>
          <w:tcPr>
            <w:tcW w:w="1544"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74</w:t>
            </w:r>
          </w:p>
        </w:tc>
        <w:tc>
          <w:tcPr>
            <w:tcW w:w="103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262</w:t>
            </w:r>
          </w:p>
        </w:tc>
        <w:tc>
          <w:tcPr>
            <w:tcW w:w="107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69</w:t>
            </w:r>
          </w:p>
        </w:tc>
        <w:tc>
          <w:tcPr>
            <w:tcW w:w="1132"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136</w:t>
            </w:r>
          </w:p>
        </w:tc>
        <w:tc>
          <w:tcPr>
            <w:tcW w:w="1277"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64</w:t>
            </w:r>
          </w:p>
        </w:tc>
        <w:tc>
          <w:tcPr>
            <w:tcW w:w="1218"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70</w:t>
            </w:r>
          </w:p>
        </w:tc>
      </w:tr>
      <w:tr w:rsidR="00AB7D4D" w:rsidRPr="000A2AB3" w:rsidTr="00996E9C">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Jihočeský</w:t>
            </w:r>
          </w:p>
        </w:tc>
        <w:tc>
          <w:tcPr>
            <w:tcW w:w="1544"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90</w:t>
            </w:r>
          </w:p>
        </w:tc>
        <w:tc>
          <w:tcPr>
            <w:tcW w:w="103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285</w:t>
            </w:r>
          </w:p>
        </w:tc>
        <w:tc>
          <w:tcPr>
            <w:tcW w:w="107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85</w:t>
            </w:r>
          </w:p>
        </w:tc>
        <w:tc>
          <w:tcPr>
            <w:tcW w:w="1132"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161</w:t>
            </w:r>
          </w:p>
        </w:tc>
        <w:tc>
          <w:tcPr>
            <w:tcW w:w="1277"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67</w:t>
            </w:r>
          </w:p>
        </w:tc>
        <w:tc>
          <w:tcPr>
            <w:tcW w:w="1218"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93</w:t>
            </w:r>
          </w:p>
        </w:tc>
      </w:tr>
      <w:tr w:rsidR="00AB7D4D"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Liberecký</w:t>
            </w:r>
          </w:p>
        </w:tc>
        <w:tc>
          <w:tcPr>
            <w:tcW w:w="1544"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78</w:t>
            </w:r>
          </w:p>
        </w:tc>
        <w:tc>
          <w:tcPr>
            <w:tcW w:w="103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293</w:t>
            </w:r>
          </w:p>
        </w:tc>
        <w:tc>
          <w:tcPr>
            <w:tcW w:w="1078"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91</w:t>
            </w:r>
          </w:p>
        </w:tc>
        <w:tc>
          <w:tcPr>
            <w:tcW w:w="1132"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156</w:t>
            </w:r>
          </w:p>
        </w:tc>
        <w:tc>
          <w:tcPr>
            <w:tcW w:w="1277"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60</w:t>
            </w:r>
          </w:p>
        </w:tc>
        <w:tc>
          <w:tcPr>
            <w:tcW w:w="1218" w:type="dxa"/>
          </w:tcPr>
          <w:p w:rsidR="00AB7D4D" w:rsidRPr="000A2AB3" w:rsidRDefault="00FB45CF"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76</w:t>
            </w:r>
          </w:p>
        </w:tc>
      </w:tr>
      <w:tr w:rsidR="00AB7D4D" w:rsidRPr="000A2AB3" w:rsidTr="00996E9C">
        <w:tc>
          <w:tcPr>
            <w:cnfStyle w:val="001000000000" w:firstRow="0" w:lastRow="0" w:firstColumn="1" w:lastColumn="0" w:oddVBand="0" w:evenVBand="0" w:oddHBand="0" w:evenHBand="0" w:firstRowFirstColumn="0" w:firstRowLastColumn="0" w:lastRowFirstColumn="0" w:lastRowLastColumn="0"/>
            <w:tcW w:w="2026" w:type="dxa"/>
          </w:tcPr>
          <w:p w:rsidR="00AB7D4D" w:rsidRPr="000A2AB3" w:rsidRDefault="00AB7D4D" w:rsidP="00AB7D4D">
            <w:pPr>
              <w:rPr>
                <w:rFonts w:cs="Arial"/>
                <w:b w:val="0"/>
                <w:bCs w:val="0"/>
              </w:rPr>
            </w:pPr>
            <w:r w:rsidRPr="000A2AB3">
              <w:rPr>
                <w:rFonts w:cs="Arial"/>
                <w:b w:val="0"/>
                <w:bCs w:val="0"/>
              </w:rPr>
              <w:t>Královéhradecký</w:t>
            </w:r>
          </w:p>
        </w:tc>
        <w:tc>
          <w:tcPr>
            <w:tcW w:w="1544"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78</w:t>
            </w:r>
          </w:p>
        </w:tc>
        <w:tc>
          <w:tcPr>
            <w:tcW w:w="103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250</w:t>
            </w:r>
          </w:p>
        </w:tc>
        <w:tc>
          <w:tcPr>
            <w:tcW w:w="1078"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88</w:t>
            </w:r>
          </w:p>
        </w:tc>
        <w:tc>
          <w:tcPr>
            <w:tcW w:w="1132"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141</w:t>
            </w:r>
          </w:p>
        </w:tc>
        <w:tc>
          <w:tcPr>
            <w:tcW w:w="1277"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69</w:t>
            </w:r>
          </w:p>
        </w:tc>
        <w:tc>
          <w:tcPr>
            <w:tcW w:w="1218" w:type="dxa"/>
          </w:tcPr>
          <w:p w:rsidR="00AB7D4D" w:rsidRPr="000A2AB3" w:rsidRDefault="00FB45CF"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71</w:t>
            </w:r>
          </w:p>
        </w:tc>
      </w:tr>
    </w:tbl>
    <w:p w:rsidR="00AB7D4D" w:rsidRPr="000A2AB3" w:rsidRDefault="00AB7D4D" w:rsidP="00AB7D4D">
      <w:pPr>
        <w:ind w:left="-190"/>
        <w:rPr>
          <w:rFonts w:cs="Arial"/>
          <w:b/>
          <w:bCs/>
        </w:rPr>
      </w:pPr>
    </w:p>
    <w:p w:rsidR="00807D65" w:rsidRPr="000A2AB3" w:rsidRDefault="00807D65" w:rsidP="00807D65">
      <w:pPr>
        <w:rPr>
          <w:rFonts w:cs="Arial"/>
          <w:b/>
          <w:bCs/>
        </w:rPr>
      </w:pPr>
      <w:r w:rsidRPr="000A2AB3">
        <w:rPr>
          <w:rFonts w:cs="Arial"/>
          <w:bCs/>
        </w:rPr>
        <w:t xml:space="preserve">Graf č. 1: </w:t>
      </w:r>
      <w:r w:rsidRPr="000A2AB3">
        <w:rPr>
          <w:rFonts w:cs="Arial"/>
          <w:bCs/>
          <w:szCs w:val="22"/>
        </w:rPr>
        <w:t xml:space="preserve">Porovnání plnění energetické hodnoty </w:t>
      </w:r>
      <w:r w:rsidRPr="000A2AB3">
        <w:rPr>
          <w:rFonts w:cs="Arial"/>
          <w:bCs/>
        </w:rPr>
        <w:t>– zdravotnická zařízení</w:t>
      </w:r>
    </w:p>
    <w:p w:rsidR="00807D65" w:rsidRPr="000A2AB3" w:rsidRDefault="00807D65" w:rsidP="00807D65">
      <w:pPr>
        <w:ind w:left="-190"/>
        <w:rPr>
          <w:rFonts w:cs="Arial"/>
          <w:bCs/>
        </w:rPr>
      </w:pPr>
      <w:r w:rsidRPr="000A2AB3">
        <w:rPr>
          <w:noProof/>
        </w:rPr>
        <w:drawing>
          <wp:inline distT="0" distB="0" distL="0" distR="0" wp14:anchorId="6FFB0CCD" wp14:editId="0D2701CC">
            <wp:extent cx="5970147" cy="2188661"/>
            <wp:effectExtent l="0" t="0" r="12065" b="2159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7D65" w:rsidRPr="000A2AB3" w:rsidRDefault="00807D65" w:rsidP="000250D3">
      <w:pPr>
        <w:rPr>
          <w:rFonts w:cs="Arial"/>
          <w:bCs/>
          <w:szCs w:val="22"/>
        </w:rPr>
      </w:pPr>
    </w:p>
    <w:p w:rsidR="00AB7D4D" w:rsidRPr="000A2AB3" w:rsidRDefault="00807D65" w:rsidP="000250D3">
      <w:pPr>
        <w:rPr>
          <w:rFonts w:cs="Arial"/>
          <w:bCs/>
          <w:szCs w:val="22"/>
        </w:rPr>
      </w:pPr>
      <w:r w:rsidRPr="000A2AB3">
        <w:rPr>
          <w:rFonts w:cs="Arial"/>
          <w:bCs/>
          <w:szCs w:val="22"/>
        </w:rPr>
        <w:t>Graf č. 2</w:t>
      </w:r>
      <w:r w:rsidR="00DC150F" w:rsidRPr="000A2AB3">
        <w:rPr>
          <w:rFonts w:cs="Arial"/>
          <w:bCs/>
          <w:szCs w:val="22"/>
        </w:rPr>
        <w:t>:</w:t>
      </w:r>
      <w:r w:rsidR="000250D3" w:rsidRPr="000A2AB3">
        <w:rPr>
          <w:rFonts w:cs="Arial"/>
          <w:bCs/>
          <w:szCs w:val="22"/>
        </w:rPr>
        <w:t xml:space="preserve"> Porovnání plnění výživových dávek </w:t>
      </w:r>
      <w:r w:rsidR="000250D3" w:rsidRPr="000A2AB3">
        <w:rPr>
          <w:rFonts w:cs="Arial"/>
          <w:bCs/>
        </w:rPr>
        <w:t>vybraných živin (porovnání laboratorně zjištěné průměrné hodnoty (bez započtení nejistoty) s průměrnými referenčními hodnotami stanovenými podle DACH) – zdravotnická zařízení</w:t>
      </w:r>
    </w:p>
    <w:p w:rsidR="00FB45CF" w:rsidRPr="000A2AB3" w:rsidRDefault="00413F62" w:rsidP="00846B80">
      <w:pPr>
        <w:pStyle w:val="Odstavecseseznamem"/>
        <w:ind w:left="0"/>
        <w:rPr>
          <w:rFonts w:ascii="Arial" w:hAnsi="Arial" w:cs="Arial"/>
          <w:b/>
          <w:bCs/>
        </w:rPr>
      </w:pPr>
      <w:r w:rsidRPr="000A2AB3">
        <w:rPr>
          <w:noProof/>
        </w:rPr>
        <w:drawing>
          <wp:inline distT="0" distB="0" distL="0" distR="0" wp14:anchorId="2C7CA330" wp14:editId="448D2521">
            <wp:extent cx="5846261" cy="3569109"/>
            <wp:effectExtent l="0" t="0" r="21590" b="1270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50D3" w:rsidRPr="000A2AB3" w:rsidRDefault="000250D3" w:rsidP="00683B2C">
      <w:pPr>
        <w:tabs>
          <w:tab w:val="left" w:pos="8196"/>
        </w:tabs>
        <w:rPr>
          <w:rFonts w:cs="Arial"/>
        </w:rPr>
      </w:pPr>
      <w:r w:rsidRPr="000A2AB3">
        <w:rPr>
          <w:rFonts w:cs="Arial"/>
        </w:rPr>
        <w:t xml:space="preserve">Z výsledků laboratorních analýz vyplývá, že </w:t>
      </w:r>
      <w:r w:rsidR="003F3356" w:rsidRPr="000A2AB3">
        <w:rPr>
          <w:rFonts w:cs="Arial"/>
        </w:rPr>
        <w:t xml:space="preserve">zjištěná energetická hodnota sedmidenního vzorku je v případě  porodnických oddělení nižší než průměrná referenční doporučená dávka pro kojící ženy. Tato skutečnost souvisí se zjištěným obsahem bílkovin, tuků a sacharidů, graficky znázorněném v grafu č. 3. Z laboratorních analýz vyplývá, že přívod bílkovin je vyšší než průměrná referenční dávka, pouze v jednom případě bylo zjištěno 98% plnění, ale v případě započtení nejistoty metody bude i tato hodnota odpovídající. Neuspokojivá je situace v přívodu tuků, kdy pouze v jednom případě bylo zjištěno plnění nad 90% průměrné referenční dávky. V případě obsahu sacharidů byla průměrná referenční dávka naplněna pouze v jednom případě, ve dvou případech byla překročena, kdy v případě obsahu 168% průměrné referenční dávky v jediném případě byly sacharidy hlavním </w:t>
      </w:r>
      <w:r w:rsidR="00A87604" w:rsidRPr="000A2AB3">
        <w:rPr>
          <w:rFonts w:cs="Arial"/>
        </w:rPr>
        <w:t>energetickým zdrojem. V ostatních případech byl obsah sacharidů pod průměrnou referenční dávkou.</w:t>
      </w:r>
      <w:r w:rsidR="003F3356" w:rsidRPr="000A2AB3">
        <w:rPr>
          <w:rFonts w:cs="Arial"/>
        </w:rPr>
        <w:t xml:space="preserve"> </w:t>
      </w:r>
    </w:p>
    <w:p w:rsidR="00683B2C" w:rsidRPr="000A2AB3" w:rsidRDefault="00683B2C" w:rsidP="00683B2C">
      <w:pPr>
        <w:tabs>
          <w:tab w:val="left" w:pos="8196"/>
        </w:tabs>
        <w:rPr>
          <w:rFonts w:cs="Arial"/>
        </w:rPr>
      </w:pPr>
      <w:r w:rsidRPr="000A2AB3">
        <w:rPr>
          <w:rFonts w:cs="Arial"/>
        </w:rPr>
        <w:tab/>
      </w:r>
    </w:p>
    <w:p w:rsidR="00683B2C" w:rsidRPr="000A2AB3" w:rsidRDefault="00683B2C" w:rsidP="00683B2C">
      <w:pPr>
        <w:tabs>
          <w:tab w:val="left" w:pos="8196"/>
        </w:tabs>
        <w:rPr>
          <w:rFonts w:cs="Arial"/>
        </w:rPr>
      </w:pPr>
      <w:r w:rsidRPr="000A2AB3">
        <w:rPr>
          <w:rFonts w:cs="Arial"/>
        </w:rPr>
        <w:t xml:space="preserve">Graf č. </w:t>
      </w:r>
      <w:r w:rsidR="006B6D78" w:rsidRPr="000A2AB3">
        <w:rPr>
          <w:rFonts w:cs="Arial"/>
        </w:rPr>
        <w:t>3</w:t>
      </w:r>
      <w:r w:rsidR="000250D3" w:rsidRPr="000A2AB3">
        <w:rPr>
          <w:rFonts w:cs="Arial"/>
        </w:rPr>
        <w:t xml:space="preserve">: </w:t>
      </w:r>
      <w:r w:rsidR="000250D3" w:rsidRPr="000A2AB3">
        <w:rPr>
          <w:rFonts w:cs="Arial"/>
          <w:bCs/>
          <w:szCs w:val="22"/>
        </w:rPr>
        <w:t xml:space="preserve">Porovnání plnění trojkombinace – obsahu bílkovin, tuků a sacharidů energetické hodnoty </w:t>
      </w:r>
      <w:r w:rsidR="000250D3" w:rsidRPr="000A2AB3">
        <w:rPr>
          <w:rFonts w:cs="Arial"/>
          <w:bCs/>
        </w:rPr>
        <w:t xml:space="preserve">– zdravotnická zařízení </w:t>
      </w:r>
    </w:p>
    <w:p w:rsidR="00670578" w:rsidRPr="000A2AB3" w:rsidRDefault="00670578" w:rsidP="00AB7D4D">
      <w:pPr>
        <w:ind w:left="-190"/>
        <w:rPr>
          <w:rFonts w:cs="Arial"/>
          <w:bCs/>
        </w:rPr>
      </w:pPr>
      <w:r w:rsidRPr="000A2AB3">
        <w:rPr>
          <w:noProof/>
        </w:rPr>
        <w:drawing>
          <wp:inline distT="0" distB="0" distL="0" distR="0" wp14:anchorId="47AA8284" wp14:editId="735DEF6C">
            <wp:extent cx="5970147" cy="2306647"/>
            <wp:effectExtent l="0" t="0" r="12065" b="1778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7604" w:rsidRPr="000A2AB3" w:rsidRDefault="00A87604" w:rsidP="00A87604">
      <w:pPr>
        <w:rPr>
          <w:rFonts w:cs="Arial"/>
          <w:bCs/>
        </w:rPr>
      </w:pPr>
      <w:r w:rsidRPr="000A2AB3">
        <w:rPr>
          <w:rFonts w:cs="Arial"/>
          <w:bCs/>
        </w:rPr>
        <w:t xml:space="preserve">V případě zdravotnických zařízení, porodnických oddělení, je však nutné zohlednit dobu pobytu, která je časově omezená. Nicméně poměr trojkombinace by měl v této situaci odpovídat doporučeným hodnotám, kdy zlepšení a úprava poměru - bílkoviny / tuky / sacharidy povedou i k úpravě energetické hodnoty (zvýšení). </w:t>
      </w:r>
    </w:p>
    <w:p w:rsidR="00807D65" w:rsidRPr="000A2AB3" w:rsidRDefault="00807D65" w:rsidP="00A87604">
      <w:pPr>
        <w:rPr>
          <w:rFonts w:cs="Arial"/>
          <w:bCs/>
        </w:rPr>
      </w:pPr>
    </w:p>
    <w:p w:rsidR="00AB7D4D" w:rsidRPr="000A2AB3" w:rsidRDefault="00AB7D4D" w:rsidP="00A87604">
      <w:pPr>
        <w:rPr>
          <w:rFonts w:cs="Arial"/>
          <w:bCs/>
        </w:rPr>
      </w:pPr>
      <w:r w:rsidRPr="000A2AB3">
        <w:rPr>
          <w:rFonts w:cs="Arial"/>
          <w:bCs/>
        </w:rPr>
        <w:t>Tabulka</w:t>
      </w:r>
      <w:r w:rsidR="002C03B7" w:rsidRPr="000A2AB3">
        <w:rPr>
          <w:rFonts w:cs="Arial"/>
          <w:bCs/>
        </w:rPr>
        <w:t xml:space="preserve"> č. </w:t>
      </w:r>
      <w:r w:rsidR="006B6D78" w:rsidRPr="000A2AB3">
        <w:rPr>
          <w:rFonts w:cs="Arial"/>
          <w:bCs/>
        </w:rPr>
        <w:t>5</w:t>
      </w:r>
      <w:r w:rsidRPr="000A2AB3">
        <w:rPr>
          <w:rFonts w:cs="Arial"/>
          <w:bCs/>
        </w:rPr>
        <w:t>: Orientační porovnání plnění výži</w:t>
      </w:r>
      <w:r w:rsidR="00F2262B" w:rsidRPr="000A2AB3">
        <w:rPr>
          <w:rFonts w:cs="Arial"/>
          <w:bCs/>
        </w:rPr>
        <w:t>vových dávek vybraných živin (p</w:t>
      </w:r>
      <w:r w:rsidRPr="000A2AB3">
        <w:rPr>
          <w:rFonts w:cs="Arial"/>
          <w:bCs/>
        </w:rPr>
        <w:t xml:space="preserve">orovnání laboratorně zjištěné průměrné hodnoty </w:t>
      </w:r>
      <w:r w:rsidR="00F2262B" w:rsidRPr="000A2AB3">
        <w:rPr>
          <w:rFonts w:cs="Arial"/>
          <w:bCs/>
        </w:rPr>
        <w:t>(</w:t>
      </w:r>
      <w:r w:rsidRPr="000A2AB3">
        <w:rPr>
          <w:rFonts w:cs="Arial"/>
          <w:bCs/>
        </w:rPr>
        <w:t>bez započtení nejistoty</w:t>
      </w:r>
      <w:r w:rsidR="00F2262B" w:rsidRPr="000A2AB3">
        <w:rPr>
          <w:rFonts w:cs="Arial"/>
          <w:bCs/>
        </w:rPr>
        <w:t>) s průměrnými referenčními hodnotami stanovenými podle DACH) – zařízení sociálních služeb</w:t>
      </w:r>
    </w:p>
    <w:tbl>
      <w:tblPr>
        <w:tblStyle w:val="Stednmka3zvraznn6"/>
        <w:tblW w:w="9339" w:type="dxa"/>
        <w:tblLayout w:type="fixed"/>
        <w:tblLook w:val="04A0" w:firstRow="1" w:lastRow="0" w:firstColumn="1" w:lastColumn="0" w:noHBand="0" w:noVBand="1"/>
      </w:tblPr>
      <w:tblGrid>
        <w:gridCol w:w="2027"/>
        <w:gridCol w:w="1544"/>
        <w:gridCol w:w="1133"/>
        <w:gridCol w:w="1097"/>
        <w:gridCol w:w="1160"/>
        <w:gridCol w:w="10"/>
        <w:gridCol w:w="1124"/>
        <w:gridCol w:w="1244"/>
      </w:tblGrid>
      <w:tr w:rsidR="00AB7D4D" w:rsidRPr="000A2AB3" w:rsidTr="00996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tcPr>
          <w:p w:rsidR="00AB7D4D" w:rsidRPr="000A2AB3" w:rsidRDefault="002C03B7" w:rsidP="00AB7D4D">
            <w:pPr>
              <w:rPr>
                <w:rFonts w:cs="Arial"/>
                <w:b w:val="0"/>
                <w:bCs w:val="0"/>
              </w:rPr>
            </w:pPr>
            <w:r w:rsidRPr="000A2AB3">
              <w:rPr>
                <w:rFonts w:cs="Arial"/>
                <w:b w:val="0"/>
                <w:bCs w:val="0"/>
              </w:rPr>
              <w:t>kraj</w:t>
            </w:r>
            <w:r w:rsidR="00634DC1" w:rsidRPr="000A2AB3">
              <w:rPr>
                <w:rFonts w:cs="Arial"/>
                <w:b w:val="0"/>
                <w:bCs w:val="0"/>
              </w:rPr>
              <w:t>*</w:t>
            </w:r>
          </w:p>
        </w:tc>
        <w:tc>
          <w:tcPr>
            <w:tcW w:w="1544" w:type="dxa"/>
          </w:tcPr>
          <w:p w:rsidR="00AB7D4D" w:rsidRPr="000A2AB3" w:rsidRDefault="00AB7D4D" w:rsidP="00AB7D4D">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energetická hodnota (</w:t>
            </w:r>
            <w:r w:rsidR="00F2262B" w:rsidRPr="000A2AB3">
              <w:rPr>
                <w:rFonts w:cs="Arial"/>
                <w:b w:val="0"/>
                <w:bCs w:val="0"/>
              </w:rPr>
              <w:t>%)</w:t>
            </w:r>
          </w:p>
        </w:tc>
        <w:tc>
          <w:tcPr>
            <w:tcW w:w="1133" w:type="dxa"/>
          </w:tcPr>
          <w:p w:rsidR="00AB7D4D" w:rsidRPr="000A2AB3" w:rsidRDefault="00F2262B" w:rsidP="00AB7D4D">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sůl (%</w:t>
            </w:r>
            <w:r w:rsidR="00AB7D4D" w:rsidRPr="000A2AB3">
              <w:rPr>
                <w:rFonts w:cs="Arial"/>
                <w:b w:val="0"/>
                <w:bCs w:val="0"/>
              </w:rPr>
              <w:t>)</w:t>
            </w:r>
          </w:p>
        </w:tc>
        <w:tc>
          <w:tcPr>
            <w:tcW w:w="1097" w:type="dxa"/>
          </w:tcPr>
          <w:p w:rsidR="00AB7D4D" w:rsidRPr="000A2AB3" w:rsidRDefault="00AB7D4D" w:rsidP="00F2262B">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vláknina (</w:t>
            </w:r>
            <w:r w:rsidR="00F2262B" w:rsidRPr="000A2AB3">
              <w:rPr>
                <w:rFonts w:cs="Arial"/>
                <w:b w:val="0"/>
                <w:bCs w:val="0"/>
              </w:rPr>
              <w:t>%</w:t>
            </w:r>
            <w:r w:rsidRPr="000A2AB3">
              <w:rPr>
                <w:rFonts w:cs="Arial"/>
                <w:b w:val="0"/>
                <w:bCs w:val="0"/>
              </w:rPr>
              <w:t>)</w:t>
            </w:r>
          </w:p>
        </w:tc>
        <w:tc>
          <w:tcPr>
            <w:tcW w:w="1160" w:type="dxa"/>
          </w:tcPr>
          <w:p w:rsidR="00AB7D4D" w:rsidRPr="000A2AB3" w:rsidRDefault="00AB7D4D" w:rsidP="00ED6635">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bílkovin</w:t>
            </w:r>
            <w:r w:rsidR="00ED6635" w:rsidRPr="000A2AB3">
              <w:rPr>
                <w:rFonts w:cs="Arial"/>
                <w:b w:val="0"/>
                <w:bCs w:val="0"/>
              </w:rPr>
              <w:t>y</w:t>
            </w:r>
            <w:r w:rsidRPr="000A2AB3">
              <w:rPr>
                <w:rFonts w:cs="Arial"/>
                <w:b w:val="0"/>
                <w:bCs w:val="0"/>
              </w:rPr>
              <w:t xml:space="preserve"> (</w:t>
            </w:r>
            <w:r w:rsidR="00F2262B" w:rsidRPr="000A2AB3">
              <w:rPr>
                <w:rFonts w:cs="Arial"/>
                <w:b w:val="0"/>
                <w:bCs w:val="0"/>
              </w:rPr>
              <w:t>%</w:t>
            </w:r>
            <w:r w:rsidRPr="000A2AB3">
              <w:rPr>
                <w:rFonts w:cs="Arial"/>
                <w:b w:val="0"/>
                <w:bCs w:val="0"/>
              </w:rPr>
              <w:t>)</w:t>
            </w:r>
          </w:p>
        </w:tc>
        <w:tc>
          <w:tcPr>
            <w:tcW w:w="1134" w:type="dxa"/>
            <w:gridSpan w:val="2"/>
          </w:tcPr>
          <w:p w:rsidR="00AB7D4D" w:rsidRPr="000A2AB3" w:rsidRDefault="00AB7D4D" w:rsidP="00F2262B">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tuky (</w:t>
            </w:r>
            <w:r w:rsidR="00F2262B" w:rsidRPr="000A2AB3">
              <w:rPr>
                <w:rFonts w:cs="Arial"/>
                <w:b w:val="0"/>
                <w:bCs w:val="0"/>
              </w:rPr>
              <w:t>%</w:t>
            </w:r>
            <w:r w:rsidRPr="000A2AB3">
              <w:rPr>
                <w:rFonts w:cs="Arial"/>
                <w:b w:val="0"/>
                <w:bCs w:val="0"/>
              </w:rPr>
              <w:t>)</w:t>
            </w:r>
          </w:p>
        </w:tc>
        <w:tc>
          <w:tcPr>
            <w:tcW w:w="1244" w:type="dxa"/>
          </w:tcPr>
          <w:p w:rsidR="00AB7D4D" w:rsidRPr="000A2AB3" w:rsidRDefault="00AB7D4D" w:rsidP="00F2262B">
            <w:pPr>
              <w:cnfStyle w:val="100000000000" w:firstRow="1" w:lastRow="0" w:firstColumn="0" w:lastColumn="0" w:oddVBand="0" w:evenVBand="0" w:oddHBand="0" w:evenHBand="0" w:firstRowFirstColumn="0" w:firstRowLastColumn="0" w:lastRowFirstColumn="0" w:lastRowLastColumn="0"/>
              <w:rPr>
                <w:rFonts w:cs="Arial"/>
                <w:b w:val="0"/>
                <w:bCs w:val="0"/>
              </w:rPr>
            </w:pPr>
            <w:r w:rsidRPr="000A2AB3">
              <w:rPr>
                <w:rFonts w:cs="Arial"/>
                <w:b w:val="0"/>
                <w:bCs w:val="0"/>
              </w:rPr>
              <w:t>sacharidy (</w:t>
            </w:r>
            <w:r w:rsidR="00F2262B" w:rsidRPr="000A2AB3">
              <w:rPr>
                <w:rFonts w:cs="Arial"/>
                <w:b w:val="0"/>
                <w:bCs w:val="0"/>
              </w:rPr>
              <w:t>%</w:t>
            </w:r>
            <w:r w:rsidRPr="000A2AB3">
              <w:rPr>
                <w:rFonts w:cs="Arial"/>
                <w:b w:val="0"/>
                <w:bCs w:val="0"/>
              </w:rPr>
              <w:t>)</w:t>
            </w:r>
          </w:p>
        </w:tc>
      </w:tr>
      <w:tr w:rsidR="00AB7D4D"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tcPr>
          <w:p w:rsidR="00AB7D4D" w:rsidRPr="000A2AB3" w:rsidRDefault="00AB7D4D" w:rsidP="00AB7D4D">
            <w:pPr>
              <w:rPr>
                <w:rFonts w:cs="Arial"/>
                <w:b w:val="0"/>
                <w:bCs w:val="0"/>
              </w:rPr>
            </w:pPr>
            <w:r w:rsidRPr="000A2AB3">
              <w:rPr>
                <w:rFonts w:cs="Arial"/>
                <w:b w:val="0"/>
                <w:bCs w:val="0"/>
              </w:rPr>
              <w:t>Karlovarský</w:t>
            </w:r>
          </w:p>
        </w:tc>
        <w:tc>
          <w:tcPr>
            <w:tcW w:w="1544"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116</w:t>
            </w:r>
          </w:p>
        </w:tc>
        <w:tc>
          <w:tcPr>
            <w:tcW w:w="1133"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272</w:t>
            </w:r>
          </w:p>
        </w:tc>
        <w:tc>
          <w:tcPr>
            <w:tcW w:w="1097"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84</w:t>
            </w:r>
          </w:p>
        </w:tc>
        <w:tc>
          <w:tcPr>
            <w:tcW w:w="1170" w:type="dxa"/>
            <w:gridSpan w:val="2"/>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141</w:t>
            </w:r>
          </w:p>
        </w:tc>
        <w:tc>
          <w:tcPr>
            <w:tcW w:w="1124" w:type="dxa"/>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119</w:t>
            </w:r>
          </w:p>
        </w:tc>
        <w:tc>
          <w:tcPr>
            <w:tcW w:w="1244" w:type="dxa"/>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117</w:t>
            </w:r>
          </w:p>
        </w:tc>
      </w:tr>
      <w:tr w:rsidR="00670578" w:rsidRPr="000A2AB3" w:rsidTr="00996E9C">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AB7D4D">
            <w:pPr>
              <w:rPr>
                <w:rFonts w:cs="Arial"/>
                <w:b w:val="0"/>
                <w:bCs w:val="0"/>
              </w:rPr>
            </w:pPr>
            <w:r w:rsidRPr="000A2AB3">
              <w:rPr>
                <w:rFonts w:cs="Arial"/>
                <w:b w:val="0"/>
                <w:bCs w:val="0"/>
              </w:rPr>
              <w:t>Zlínský</w:t>
            </w:r>
          </w:p>
        </w:tc>
        <w:tc>
          <w:tcPr>
            <w:tcW w:w="15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110</w:t>
            </w:r>
          </w:p>
        </w:tc>
        <w:tc>
          <w:tcPr>
            <w:tcW w:w="1133"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207</w:t>
            </w:r>
          </w:p>
        </w:tc>
        <w:tc>
          <w:tcPr>
            <w:tcW w:w="1097"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87</w:t>
            </w:r>
          </w:p>
        </w:tc>
        <w:tc>
          <w:tcPr>
            <w:tcW w:w="1170" w:type="dxa"/>
            <w:gridSpan w:val="2"/>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130</w:t>
            </w:r>
          </w:p>
        </w:tc>
        <w:tc>
          <w:tcPr>
            <w:tcW w:w="112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105</w:t>
            </w:r>
          </w:p>
        </w:tc>
        <w:tc>
          <w:tcPr>
            <w:tcW w:w="12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103</w:t>
            </w:r>
          </w:p>
        </w:tc>
      </w:tr>
      <w:tr w:rsidR="00670578"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B7D4D">
            <w:pPr>
              <w:rPr>
                <w:rFonts w:cs="Arial"/>
                <w:b w:val="0"/>
                <w:bCs w:val="0"/>
              </w:rPr>
            </w:pPr>
          </w:p>
        </w:tc>
        <w:tc>
          <w:tcPr>
            <w:tcW w:w="15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109</w:t>
            </w:r>
          </w:p>
        </w:tc>
        <w:tc>
          <w:tcPr>
            <w:tcW w:w="1133"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190</w:t>
            </w:r>
          </w:p>
        </w:tc>
        <w:tc>
          <w:tcPr>
            <w:tcW w:w="1097"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78</w:t>
            </w:r>
          </w:p>
        </w:tc>
        <w:tc>
          <w:tcPr>
            <w:tcW w:w="1170" w:type="dxa"/>
            <w:gridSpan w:val="2"/>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147</w:t>
            </w:r>
          </w:p>
        </w:tc>
        <w:tc>
          <w:tcPr>
            <w:tcW w:w="112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117</w:t>
            </w:r>
          </w:p>
        </w:tc>
        <w:tc>
          <w:tcPr>
            <w:tcW w:w="12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95</w:t>
            </w:r>
          </w:p>
        </w:tc>
      </w:tr>
      <w:tr w:rsidR="00670578" w:rsidRPr="000A2AB3" w:rsidTr="00996E9C">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B7D4D">
            <w:pPr>
              <w:rPr>
                <w:rFonts w:cs="Arial"/>
                <w:b w:val="0"/>
                <w:bCs w:val="0"/>
              </w:rPr>
            </w:pPr>
          </w:p>
        </w:tc>
        <w:tc>
          <w:tcPr>
            <w:tcW w:w="15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98</w:t>
            </w:r>
          </w:p>
        </w:tc>
        <w:tc>
          <w:tcPr>
            <w:tcW w:w="1133"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148</w:t>
            </w:r>
          </w:p>
        </w:tc>
        <w:tc>
          <w:tcPr>
            <w:tcW w:w="1097"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80</w:t>
            </w:r>
          </w:p>
        </w:tc>
        <w:tc>
          <w:tcPr>
            <w:tcW w:w="1170" w:type="dxa"/>
            <w:gridSpan w:val="2"/>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139</w:t>
            </w:r>
          </w:p>
        </w:tc>
        <w:tc>
          <w:tcPr>
            <w:tcW w:w="112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104</w:t>
            </w:r>
          </w:p>
        </w:tc>
        <w:tc>
          <w:tcPr>
            <w:tcW w:w="12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87</w:t>
            </w:r>
          </w:p>
        </w:tc>
      </w:tr>
      <w:tr w:rsidR="00AB7D4D"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tcPr>
          <w:p w:rsidR="00AB7D4D" w:rsidRPr="000A2AB3" w:rsidRDefault="00AB7D4D" w:rsidP="00AB7D4D">
            <w:pPr>
              <w:rPr>
                <w:rFonts w:cs="Arial"/>
                <w:b w:val="0"/>
                <w:bCs w:val="0"/>
              </w:rPr>
            </w:pPr>
            <w:r w:rsidRPr="000A2AB3">
              <w:rPr>
                <w:rFonts w:cs="Arial"/>
                <w:b w:val="0"/>
                <w:bCs w:val="0"/>
              </w:rPr>
              <w:t>Moravskoslezský</w:t>
            </w:r>
          </w:p>
        </w:tc>
        <w:tc>
          <w:tcPr>
            <w:tcW w:w="1544"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103</w:t>
            </w:r>
          </w:p>
        </w:tc>
        <w:tc>
          <w:tcPr>
            <w:tcW w:w="1133"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165</w:t>
            </w:r>
          </w:p>
        </w:tc>
        <w:tc>
          <w:tcPr>
            <w:tcW w:w="1097"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81</w:t>
            </w:r>
          </w:p>
        </w:tc>
        <w:tc>
          <w:tcPr>
            <w:tcW w:w="1170" w:type="dxa"/>
            <w:gridSpan w:val="2"/>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162</w:t>
            </w:r>
          </w:p>
        </w:tc>
        <w:tc>
          <w:tcPr>
            <w:tcW w:w="1124" w:type="dxa"/>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96</w:t>
            </w:r>
          </w:p>
        </w:tc>
        <w:tc>
          <w:tcPr>
            <w:tcW w:w="1244" w:type="dxa"/>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92</w:t>
            </w:r>
          </w:p>
        </w:tc>
      </w:tr>
      <w:tr w:rsidR="00AB7D4D" w:rsidRPr="000A2AB3" w:rsidTr="00996E9C">
        <w:tc>
          <w:tcPr>
            <w:cnfStyle w:val="001000000000" w:firstRow="0" w:lastRow="0" w:firstColumn="1" w:lastColumn="0" w:oddVBand="0" w:evenVBand="0" w:oddHBand="0" w:evenHBand="0" w:firstRowFirstColumn="0" w:firstRowLastColumn="0" w:lastRowFirstColumn="0" w:lastRowLastColumn="0"/>
            <w:tcW w:w="2027" w:type="dxa"/>
          </w:tcPr>
          <w:p w:rsidR="00AB7D4D" w:rsidRPr="000A2AB3" w:rsidRDefault="00AB7D4D" w:rsidP="00AB7D4D">
            <w:pPr>
              <w:rPr>
                <w:rFonts w:cs="Arial"/>
                <w:b w:val="0"/>
                <w:bCs w:val="0"/>
              </w:rPr>
            </w:pPr>
            <w:r w:rsidRPr="000A2AB3">
              <w:rPr>
                <w:rFonts w:cs="Arial"/>
                <w:b w:val="0"/>
                <w:bCs w:val="0"/>
              </w:rPr>
              <w:t>Vysočina</w:t>
            </w:r>
          </w:p>
        </w:tc>
        <w:tc>
          <w:tcPr>
            <w:tcW w:w="1544"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99</w:t>
            </w:r>
          </w:p>
        </w:tc>
        <w:tc>
          <w:tcPr>
            <w:tcW w:w="1133"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217</w:t>
            </w:r>
          </w:p>
        </w:tc>
        <w:tc>
          <w:tcPr>
            <w:tcW w:w="1097"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72</w:t>
            </w:r>
          </w:p>
        </w:tc>
        <w:tc>
          <w:tcPr>
            <w:tcW w:w="1170" w:type="dxa"/>
            <w:gridSpan w:val="2"/>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147</w:t>
            </w:r>
          </w:p>
        </w:tc>
        <w:tc>
          <w:tcPr>
            <w:tcW w:w="1124" w:type="dxa"/>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89</w:t>
            </w:r>
          </w:p>
        </w:tc>
        <w:tc>
          <w:tcPr>
            <w:tcW w:w="1244" w:type="dxa"/>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92</w:t>
            </w:r>
          </w:p>
        </w:tc>
      </w:tr>
      <w:tr w:rsidR="00670578"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AB7D4D">
            <w:pPr>
              <w:rPr>
                <w:rFonts w:cs="Arial"/>
                <w:b w:val="0"/>
                <w:bCs w:val="0"/>
              </w:rPr>
            </w:pPr>
            <w:r w:rsidRPr="000A2AB3">
              <w:rPr>
                <w:rFonts w:cs="Arial"/>
                <w:b w:val="0"/>
                <w:bCs w:val="0"/>
              </w:rPr>
              <w:t>Olomoucký</w:t>
            </w:r>
          </w:p>
        </w:tc>
        <w:tc>
          <w:tcPr>
            <w:tcW w:w="15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111</w:t>
            </w:r>
          </w:p>
        </w:tc>
        <w:tc>
          <w:tcPr>
            <w:tcW w:w="1133"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175</w:t>
            </w:r>
          </w:p>
        </w:tc>
        <w:tc>
          <w:tcPr>
            <w:tcW w:w="1097"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97</w:t>
            </w:r>
          </w:p>
        </w:tc>
        <w:tc>
          <w:tcPr>
            <w:tcW w:w="1170" w:type="dxa"/>
            <w:gridSpan w:val="2"/>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160</w:t>
            </w:r>
          </w:p>
        </w:tc>
        <w:tc>
          <w:tcPr>
            <w:tcW w:w="112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115</w:t>
            </w:r>
          </w:p>
        </w:tc>
        <w:tc>
          <w:tcPr>
            <w:tcW w:w="12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108</w:t>
            </w:r>
          </w:p>
        </w:tc>
      </w:tr>
      <w:tr w:rsidR="00670578" w:rsidRPr="000A2AB3" w:rsidTr="00996E9C">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B7D4D">
            <w:pPr>
              <w:rPr>
                <w:rFonts w:cs="Arial"/>
                <w:b w:val="0"/>
                <w:bCs w:val="0"/>
              </w:rPr>
            </w:pPr>
          </w:p>
        </w:tc>
        <w:tc>
          <w:tcPr>
            <w:tcW w:w="15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98</w:t>
            </w:r>
          </w:p>
        </w:tc>
        <w:tc>
          <w:tcPr>
            <w:tcW w:w="1133"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168</w:t>
            </w:r>
          </w:p>
        </w:tc>
        <w:tc>
          <w:tcPr>
            <w:tcW w:w="1097"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65</w:t>
            </w:r>
          </w:p>
        </w:tc>
        <w:tc>
          <w:tcPr>
            <w:tcW w:w="1170" w:type="dxa"/>
            <w:gridSpan w:val="2"/>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153</w:t>
            </w:r>
          </w:p>
        </w:tc>
        <w:tc>
          <w:tcPr>
            <w:tcW w:w="112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76</w:t>
            </w:r>
          </w:p>
        </w:tc>
        <w:tc>
          <w:tcPr>
            <w:tcW w:w="12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97</w:t>
            </w:r>
          </w:p>
        </w:tc>
      </w:tr>
      <w:tr w:rsidR="00670578"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B7D4D">
            <w:pPr>
              <w:rPr>
                <w:rFonts w:cs="Arial"/>
                <w:b w:val="0"/>
                <w:bCs w:val="0"/>
              </w:rPr>
            </w:pPr>
          </w:p>
        </w:tc>
        <w:tc>
          <w:tcPr>
            <w:tcW w:w="15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102</w:t>
            </w:r>
          </w:p>
        </w:tc>
        <w:tc>
          <w:tcPr>
            <w:tcW w:w="1133"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175</w:t>
            </w:r>
          </w:p>
        </w:tc>
        <w:tc>
          <w:tcPr>
            <w:tcW w:w="1097"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60</w:t>
            </w:r>
          </w:p>
        </w:tc>
        <w:tc>
          <w:tcPr>
            <w:tcW w:w="1170" w:type="dxa"/>
            <w:gridSpan w:val="2"/>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146</w:t>
            </w:r>
          </w:p>
        </w:tc>
        <w:tc>
          <w:tcPr>
            <w:tcW w:w="112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83</w:t>
            </w:r>
          </w:p>
        </w:tc>
        <w:tc>
          <w:tcPr>
            <w:tcW w:w="12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102</w:t>
            </w:r>
          </w:p>
        </w:tc>
      </w:tr>
      <w:tr w:rsidR="00670578" w:rsidRPr="000A2AB3" w:rsidTr="00996E9C">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AB7D4D">
            <w:pPr>
              <w:rPr>
                <w:rFonts w:cs="Arial"/>
                <w:b w:val="0"/>
                <w:bCs w:val="0"/>
              </w:rPr>
            </w:pPr>
            <w:r w:rsidRPr="000A2AB3">
              <w:rPr>
                <w:rFonts w:cs="Arial"/>
                <w:b w:val="0"/>
                <w:bCs w:val="0"/>
              </w:rPr>
              <w:t>Plzeňský</w:t>
            </w:r>
          </w:p>
        </w:tc>
        <w:tc>
          <w:tcPr>
            <w:tcW w:w="15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113</w:t>
            </w:r>
          </w:p>
        </w:tc>
        <w:tc>
          <w:tcPr>
            <w:tcW w:w="1133"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252</w:t>
            </w:r>
          </w:p>
        </w:tc>
        <w:tc>
          <w:tcPr>
            <w:tcW w:w="1097"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82</w:t>
            </w:r>
          </w:p>
        </w:tc>
        <w:tc>
          <w:tcPr>
            <w:tcW w:w="1170" w:type="dxa"/>
            <w:gridSpan w:val="2"/>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183</w:t>
            </w:r>
          </w:p>
        </w:tc>
        <w:tc>
          <w:tcPr>
            <w:tcW w:w="112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113</w:t>
            </w:r>
          </w:p>
        </w:tc>
        <w:tc>
          <w:tcPr>
            <w:tcW w:w="12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97</w:t>
            </w:r>
          </w:p>
        </w:tc>
      </w:tr>
      <w:tr w:rsidR="00670578"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B7D4D">
            <w:pPr>
              <w:rPr>
                <w:rFonts w:cs="Arial"/>
                <w:b w:val="0"/>
                <w:bCs w:val="0"/>
              </w:rPr>
            </w:pPr>
          </w:p>
        </w:tc>
        <w:tc>
          <w:tcPr>
            <w:tcW w:w="15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109</w:t>
            </w:r>
          </w:p>
        </w:tc>
        <w:tc>
          <w:tcPr>
            <w:tcW w:w="1133"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275</w:t>
            </w:r>
          </w:p>
        </w:tc>
        <w:tc>
          <w:tcPr>
            <w:tcW w:w="1097"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59</w:t>
            </w:r>
          </w:p>
        </w:tc>
        <w:tc>
          <w:tcPr>
            <w:tcW w:w="1170" w:type="dxa"/>
            <w:gridSpan w:val="2"/>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168</w:t>
            </w:r>
          </w:p>
        </w:tc>
        <w:tc>
          <w:tcPr>
            <w:tcW w:w="112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133</w:t>
            </w:r>
          </w:p>
        </w:tc>
        <w:tc>
          <w:tcPr>
            <w:tcW w:w="12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83</w:t>
            </w:r>
          </w:p>
        </w:tc>
      </w:tr>
      <w:tr w:rsidR="00AB7D4D" w:rsidRPr="000A2AB3" w:rsidTr="00996E9C">
        <w:tc>
          <w:tcPr>
            <w:cnfStyle w:val="001000000000" w:firstRow="0" w:lastRow="0" w:firstColumn="1" w:lastColumn="0" w:oddVBand="0" w:evenVBand="0" w:oddHBand="0" w:evenHBand="0" w:firstRowFirstColumn="0" w:firstRowLastColumn="0" w:lastRowFirstColumn="0" w:lastRowLastColumn="0"/>
            <w:tcW w:w="2027" w:type="dxa"/>
          </w:tcPr>
          <w:p w:rsidR="00AB7D4D" w:rsidRPr="000A2AB3" w:rsidRDefault="00AB7D4D" w:rsidP="00AB7D4D">
            <w:pPr>
              <w:rPr>
                <w:rFonts w:cs="Arial"/>
                <w:b w:val="0"/>
                <w:bCs w:val="0"/>
              </w:rPr>
            </w:pPr>
            <w:r w:rsidRPr="000A2AB3">
              <w:rPr>
                <w:rFonts w:cs="Arial"/>
                <w:b w:val="0"/>
                <w:bCs w:val="0"/>
              </w:rPr>
              <w:t>Pardubický</w:t>
            </w:r>
          </w:p>
        </w:tc>
        <w:tc>
          <w:tcPr>
            <w:tcW w:w="1544"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93</w:t>
            </w:r>
          </w:p>
        </w:tc>
        <w:tc>
          <w:tcPr>
            <w:tcW w:w="1133"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238</w:t>
            </w:r>
          </w:p>
        </w:tc>
        <w:tc>
          <w:tcPr>
            <w:tcW w:w="1097"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72</w:t>
            </w:r>
          </w:p>
        </w:tc>
        <w:tc>
          <w:tcPr>
            <w:tcW w:w="1170" w:type="dxa"/>
            <w:gridSpan w:val="2"/>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124</w:t>
            </w:r>
          </w:p>
        </w:tc>
        <w:tc>
          <w:tcPr>
            <w:tcW w:w="1124" w:type="dxa"/>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110</w:t>
            </w:r>
          </w:p>
        </w:tc>
        <w:tc>
          <w:tcPr>
            <w:tcW w:w="1244" w:type="dxa"/>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82</w:t>
            </w:r>
          </w:p>
        </w:tc>
      </w:tr>
      <w:tr w:rsidR="006348E3"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tcPr>
          <w:p w:rsidR="006348E3" w:rsidRPr="000A2AB3" w:rsidRDefault="006348E3" w:rsidP="00AB7D4D">
            <w:pPr>
              <w:rPr>
                <w:rFonts w:cs="Arial"/>
              </w:rPr>
            </w:pPr>
          </w:p>
        </w:tc>
        <w:tc>
          <w:tcPr>
            <w:tcW w:w="1544" w:type="dxa"/>
          </w:tcPr>
          <w:p w:rsidR="006348E3" w:rsidRPr="000A2AB3" w:rsidRDefault="007B76A2"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116</w:t>
            </w:r>
          </w:p>
        </w:tc>
        <w:tc>
          <w:tcPr>
            <w:tcW w:w="1133" w:type="dxa"/>
          </w:tcPr>
          <w:p w:rsidR="006348E3" w:rsidRPr="000A2AB3" w:rsidRDefault="007B76A2"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318</w:t>
            </w:r>
          </w:p>
        </w:tc>
        <w:tc>
          <w:tcPr>
            <w:tcW w:w="1097" w:type="dxa"/>
          </w:tcPr>
          <w:p w:rsidR="006348E3" w:rsidRPr="000A2AB3" w:rsidRDefault="007B76A2"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96</w:t>
            </w:r>
          </w:p>
        </w:tc>
        <w:tc>
          <w:tcPr>
            <w:tcW w:w="1170" w:type="dxa"/>
            <w:gridSpan w:val="2"/>
          </w:tcPr>
          <w:p w:rsidR="006348E3" w:rsidRPr="000A2AB3" w:rsidRDefault="007B76A2"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159</w:t>
            </w:r>
          </w:p>
        </w:tc>
        <w:tc>
          <w:tcPr>
            <w:tcW w:w="1124" w:type="dxa"/>
          </w:tcPr>
          <w:p w:rsidR="006348E3" w:rsidRPr="000A2AB3" w:rsidRDefault="007B76A2"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121</w:t>
            </w:r>
          </w:p>
        </w:tc>
        <w:tc>
          <w:tcPr>
            <w:tcW w:w="1244" w:type="dxa"/>
          </w:tcPr>
          <w:p w:rsidR="006348E3" w:rsidRPr="000A2AB3" w:rsidRDefault="007B76A2"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101</w:t>
            </w:r>
          </w:p>
        </w:tc>
      </w:tr>
      <w:tr w:rsidR="00AB7D4D" w:rsidRPr="000A2AB3" w:rsidTr="00996E9C">
        <w:tc>
          <w:tcPr>
            <w:cnfStyle w:val="001000000000" w:firstRow="0" w:lastRow="0" w:firstColumn="1" w:lastColumn="0" w:oddVBand="0" w:evenVBand="0" w:oddHBand="0" w:evenHBand="0" w:firstRowFirstColumn="0" w:firstRowLastColumn="0" w:lastRowFirstColumn="0" w:lastRowLastColumn="0"/>
            <w:tcW w:w="2027" w:type="dxa"/>
          </w:tcPr>
          <w:p w:rsidR="00AB7D4D" w:rsidRPr="000A2AB3" w:rsidRDefault="00AB7D4D" w:rsidP="00AB7D4D">
            <w:pPr>
              <w:rPr>
                <w:rFonts w:cs="Arial"/>
                <w:b w:val="0"/>
                <w:bCs w:val="0"/>
              </w:rPr>
            </w:pPr>
            <w:r w:rsidRPr="000A2AB3">
              <w:rPr>
                <w:rFonts w:cs="Arial"/>
                <w:b w:val="0"/>
                <w:bCs w:val="0"/>
              </w:rPr>
              <w:t>Jihomoravský</w:t>
            </w:r>
          </w:p>
        </w:tc>
        <w:tc>
          <w:tcPr>
            <w:tcW w:w="1544"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115</w:t>
            </w:r>
          </w:p>
        </w:tc>
        <w:tc>
          <w:tcPr>
            <w:tcW w:w="1133"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217</w:t>
            </w:r>
          </w:p>
        </w:tc>
        <w:tc>
          <w:tcPr>
            <w:tcW w:w="1097"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99</w:t>
            </w:r>
          </w:p>
        </w:tc>
        <w:tc>
          <w:tcPr>
            <w:tcW w:w="1170" w:type="dxa"/>
            <w:gridSpan w:val="2"/>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161</w:t>
            </w:r>
          </w:p>
        </w:tc>
        <w:tc>
          <w:tcPr>
            <w:tcW w:w="1124" w:type="dxa"/>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131</w:t>
            </w:r>
          </w:p>
        </w:tc>
        <w:tc>
          <w:tcPr>
            <w:tcW w:w="1244" w:type="dxa"/>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93</w:t>
            </w:r>
          </w:p>
        </w:tc>
      </w:tr>
      <w:tr w:rsidR="00AB7D4D"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tcPr>
          <w:p w:rsidR="00AB7D4D" w:rsidRPr="000A2AB3" w:rsidRDefault="00AB7D4D" w:rsidP="00AB7D4D">
            <w:pPr>
              <w:rPr>
                <w:rFonts w:cs="Arial"/>
                <w:b w:val="0"/>
                <w:bCs w:val="0"/>
              </w:rPr>
            </w:pPr>
            <w:r w:rsidRPr="000A2AB3">
              <w:rPr>
                <w:rFonts w:cs="Arial"/>
                <w:b w:val="0"/>
                <w:bCs w:val="0"/>
              </w:rPr>
              <w:t>hl. město Praha</w:t>
            </w:r>
          </w:p>
        </w:tc>
        <w:tc>
          <w:tcPr>
            <w:tcW w:w="1544"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116</w:t>
            </w:r>
          </w:p>
        </w:tc>
        <w:tc>
          <w:tcPr>
            <w:tcW w:w="1133"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242</w:t>
            </w:r>
          </w:p>
        </w:tc>
        <w:tc>
          <w:tcPr>
            <w:tcW w:w="1097"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71</w:t>
            </w:r>
          </w:p>
        </w:tc>
        <w:tc>
          <w:tcPr>
            <w:tcW w:w="1170" w:type="dxa"/>
            <w:gridSpan w:val="2"/>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151</w:t>
            </w:r>
          </w:p>
        </w:tc>
        <w:tc>
          <w:tcPr>
            <w:tcW w:w="1124" w:type="dxa"/>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105</w:t>
            </w:r>
          </w:p>
        </w:tc>
        <w:tc>
          <w:tcPr>
            <w:tcW w:w="1244" w:type="dxa"/>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112</w:t>
            </w:r>
          </w:p>
        </w:tc>
      </w:tr>
      <w:tr w:rsidR="00AB7D4D" w:rsidRPr="000A2AB3" w:rsidTr="00996E9C">
        <w:tc>
          <w:tcPr>
            <w:cnfStyle w:val="001000000000" w:firstRow="0" w:lastRow="0" w:firstColumn="1" w:lastColumn="0" w:oddVBand="0" w:evenVBand="0" w:oddHBand="0" w:evenHBand="0" w:firstRowFirstColumn="0" w:firstRowLastColumn="0" w:lastRowFirstColumn="0" w:lastRowLastColumn="0"/>
            <w:tcW w:w="2027" w:type="dxa"/>
          </w:tcPr>
          <w:p w:rsidR="00AB7D4D" w:rsidRPr="000A2AB3" w:rsidRDefault="00AB7D4D" w:rsidP="00AB7D4D">
            <w:pPr>
              <w:rPr>
                <w:rFonts w:cs="Arial"/>
                <w:b w:val="0"/>
                <w:bCs w:val="0"/>
              </w:rPr>
            </w:pPr>
            <w:r w:rsidRPr="000A2AB3">
              <w:rPr>
                <w:rFonts w:cs="Arial"/>
                <w:b w:val="0"/>
                <w:bCs w:val="0"/>
              </w:rPr>
              <w:t>Středočeský</w:t>
            </w:r>
          </w:p>
        </w:tc>
        <w:tc>
          <w:tcPr>
            <w:tcW w:w="1544"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87</w:t>
            </w:r>
          </w:p>
        </w:tc>
        <w:tc>
          <w:tcPr>
            <w:tcW w:w="1133"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208</w:t>
            </w:r>
          </w:p>
        </w:tc>
        <w:tc>
          <w:tcPr>
            <w:tcW w:w="1097" w:type="dxa"/>
          </w:tcPr>
          <w:p w:rsidR="00AB7D4D" w:rsidRPr="000A2AB3" w:rsidRDefault="00ED6635"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73</w:t>
            </w:r>
          </w:p>
        </w:tc>
        <w:tc>
          <w:tcPr>
            <w:tcW w:w="1170" w:type="dxa"/>
            <w:gridSpan w:val="2"/>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116</w:t>
            </w:r>
          </w:p>
        </w:tc>
        <w:tc>
          <w:tcPr>
            <w:tcW w:w="1124" w:type="dxa"/>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86</w:t>
            </w:r>
          </w:p>
        </w:tc>
        <w:tc>
          <w:tcPr>
            <w:tcW w:w="1244" w:type="dxa"/>
          </w:tcPr>
          <w:p w:rsidR="00AB7D4D" w:rsidRPr="000A2AB3" w:rsidRDefault="001D78E9"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78</w:t>
            </w:r>
          </w:p>
        </w:tc>
      </w:tr>
      <w:tr w:rsidR="00670578"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AB7D4D">
            <w:pPr>
              <w:rPr>
                <w:rFonts w:cs="Arial"/>
                <w:b w:val="0"/>
                <w:bCs w:val="0"/>
              </w:rPr>
            </w:pPr>
            <w:r w:rsidRPr="000A2AB3">
              <w:rPr>
                <w:rFonts w:cs="Arial"/>
                <w:b w:val="0"/>
                <w:bCs w:val="0"/>
              </w:rPr>
              <w:t>Ústecký</w:t>
            </w:r>
          </w:p>
        </w:tc>
        <w:tc>
          <w:tcPr>
            <w:tcW w:w="15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110</w:t>
            </w:r>
          </w:p>
        </w:tc>
        <w:tc>
          <w:tcPr>
            <w:tcW w:w="1133"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208</w:t>
            </w:r>
          </w:p>
        </w:tc>
        <w:tc>
          <w:tcPr>
            <w:tcW w:w="1097"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73</w:t>
            </w:r>
          </w:p>
        </w:tc>
        <w:tc>
          <w:tcPr>
            <w:tcW w:w="1170" w:type="dxa"/>
            <w:gridSpan w:val="2"/>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157</w:t>
            </w:r>
          </w:p>
        </w:tc>
        <w:tc>
          <w:tcPr>
            <w:tcW w:w="112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123</w:t>
            </w:r>
          </w:p>
        </w:tc>
        <w:tc>
          <w:tcPr>
            <w:tcW w:w="12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92</w:t>
            </w:r>
          </w:p>
        </w:tc>
      </w:tr>
      <w:tr w:rsidR="00670578" w:rsidRPr="000A2AB3" w:rsidTr="00996E9C">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B7D4D">
            <w:pPr>
              <w:rPr>
                <w:rFonts w:cs="Arial"/>
                <w:b w:val="0"/>
                <w:bCs w:val="0"/>
              </w:rPr>
            </w:pPr>
          </w:p>
        </w:tc>
        <w:tc>
          <w:tcPr>
            <w:tcW w:w="15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135</w:t>
            </w:r>
          </w:p>
        </w:tc>
        <w:tc>
          <w:tcPr>
            <w:tcW w:w="1133"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288</w:t>
            </w:r>
          </w:p>
        </w:tc>
        <w:tc>
          <w:tcPr>
            <w:tcW w:w="1097"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85</w:t>
            </w:r>
          </w:p>
        </w:tc>
        <w:tc>
          <w:tcPr>
            <w:tcW w:w="1170" w:type="dxa"/>
            <w:gridSpan w:val="2"/>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160</w:t>
            </w:r>
          </w:p>
        </w:tc>
        <w:tc>
          <w:tcPr>
            <w:tcW w:w="112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157</w:t>
            </w:r>
          </w:p>
        </w:tc>
        <w:tc>
          <w:tcPr>
            <w:tcW w:w="12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115</w:t>
            </w:r>
          </w:p>
        </w:tc>
      </w:tr>
      <w:tr w:rsidR="00670578"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vMerge w:val="restart"/>
          </w:tcPr>
          <w:p w:rsidR="00670578" w:rsidRPr="000A2AB3" w:rsidRDefault="00670578" w:rsidP="00AB7D4D">
            <w:pPr>
              <w:rPr>
                <w:rFonts w:cs="Arial"/>
                <w:b w:val="0"/>
                <w:bCs w:val="0"/>
              </w:rPr>
            </w:pPr>
            <w:r w:rsidRPr="000A2AB3">
              <w:rPr>
                <w:rFonts w:cs="Arial"/>
                <w:b w:val="0"/>
                <w:bCs w:val="0"/>
              </w:rPr>
              <w:t>Jihočeský</w:t>
            </w:r>
          </w:p>
        </w:tc>
        <w:tc>
          <w:tcPr>
            <w:tcW w:w="15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117</w:t>
            </w:r>
          </w:p>
        </w:tc>
        <w:tc>
          <w:tcPr>
            <w:tcW w:w="1133"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280</w:t>
            </w:r>
          </w:p>
        </w:tc>
        <w:tc>
          <w:tcPr>
            <w:tcW w:w="1097"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91</w:t>
            </w:r>
          </w:p>
        </w:tc>
        <w:tc>
          <w:tcPr>
            <w:tcW w:w="1170" w:type="dxa"/>
            <w:gridSpan w:val="2"/>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175</w:t>
            </w:r>
          </w:p>
        </w:tc>
        <w:tc>
          <w:tcPr>
            <w:tcW w:w="112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138</w:t>
            </w:r>
          </w:p>
        </w:tc>
        <w:tc>
          <w:tcPr>
            <w:tcW w:w="12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91</w:t>
            </w:r>
          </w:p>
        </w:tc>
      </w:tr>
      <w:tr w:rsidR="00670578" w:rsidRPr="000A2AB3" w:rsidTr="00996E9C">
        <w:tc>
          <w:tcPr>
            <w:cnfStyle w:val="001000000000" w:firstRow="0" w:lastRow="0" w:firstColumn="1" w:lastColumn="0" w:oddVBand="0" w:evenVBand="0" w:oddHBand="0" w:evenHBand="0" w:firstRowFirstColumn="0" w:firstRowLastColumn="0" w:lastRowFirstColumn="0" w:lastRowLastColumn="0"/>
            <w:tcW w:w="2027" w:type="dxa"/>
            <w:vMerge/>
          </w:tcPr>
          <w:p w:rsidR="00670578" w:rsidRPr="000A2AB3" w:rsidRDefault="00670578" w:rsidP="00AB7D4D">
            <w:pPr>
              <w:rPr>
                <w:rFonts w:cs="Arial"/>
                <w:b w:val="0"/>
                <w:bCs w:val="0"/>
              </w:rPr>
            </w:pPr>
          </w:p>
        </w:tc>
        <w:tc>
          <w:tcPr>
            <w:tcW w:w="15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119</w:t>
            </w:r>
          </w:p>
        </w:tc>
        <w:tc>
          <w:tcPr>
            <w:tcW w:w="1133"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312</w:t>
            </w:r>
          </w:p>
        </w:tc>
        <w:tc>
          <w:tcPr>
            <w:tcW w:w="1097"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64</w:t>
            </w:r>
          </w:p>
        </w:tc>
        <w:tc>
          <w:tcPr>
            <w:tcW w:w="1170" w:type="dxa"/>
            <w:gridSpan w:val="2"/>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150</w:t>
            </w:r>
          </w:p>
        </w:tc>
        <w:tc>
          <w:tcPr>
            <w:tcW w:w="112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131</w:t>
            </w:r>
          </w:p>
        </w:tc>
        <w:tc>
          <w:tcPr>
            <w:tcW w:w="12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104</w:t>
            </w:r>
          </w:p>
        </w:tc>
      </w:tr>
      <w:tr w:rsidR="00AB7D4D"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tcPr>
          <w:p w:rsidR="00AB7D4D" w:rsidRPr="000A2AB3" w:rsidRDefault="00AB7D4D" w:rsidP="00AB7D4D">
            <w:pPr>
              <w:rPr>
                <w:rFonts w:cs="Arial"/>
                <w:b w:val="0"/>
                <w:bCs w:val="0"/>
              </w:rPr>
            </w:pPr>
            <w:r w:rsidRPr="000A2AB3">
              <w:rPr>
                <w:rFonts w:cs="Arial"/>
                <w:b w:val="0"/>
                <w:bCs w:val="0"/>
              </w:rPr>
              <w:t>Liberecký</w:t>
            </w:r>
          </w:p>
        </w:tc>
        <w:tc>
          <w:tcPr>
            <w:tcW w:w="1544"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102</w:t>
            </w:r>
          </w:p>
        </w:tc>
        <w:tc>
          <w:tcPr>
            <w:tcW w:w="1133" w:type="dxa"/>
          </w:tcPr>
          <w:p w:rsidR="00AB7D4D" w:rsidRPr="000A2AB3" w:rsidRDefault="00ED6635" w:rsidP="00ED6635">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283</w:t>
            </w:r>
          </w:p>
        </w:tc>
        <w:tc>
          <w:tcPr>
            <w:tcW w:w="1097" w:type="dxa"/>
          </w:tcPr>
          <w:p w:rsidR="00AB7D4D" w:rsidRPr="000A2AB3" w:rsidRDefault="00ED6635"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63</w:t>
            </w:r>
          </w:p>
        </w:tc>
        <w:tc>
          <w:tcPr>
            <w:tcW w:w="1170" w:type="dxa"/>
            <w:gridSpan w:val="2"/>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144</w:t>
            </w:r>
          </w:p>
        </w:tc>
        <w:tc>
          <w:tcPr>
            <w:tcW w:w="1124" w:type="dxa"/>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125</w:t>
            </w:r>
          </w:p>
        </w:tc>
        <w:tc>
          <w:tcPr>
            <w:tcW w:w="1244" w:type="dxa"/>
          </w:tcPr>
          <w:p w:rsidR="00AB7D4D" w:rsidRPr="000A2AB3" w:rsidRDefault="001D78E9"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80</w:t>
            </w:r>
          </w:p>
        </w:tc>
      </w:tr>
      <w:tr w:rsidR="00670578" w:rsidRPr="000A2AB3" w:rsidTr="00996E9C">
        <w:tc>
          <w:tcPr>
            <w:cnfStyle w:val="001000000000" w:firstRow="0" w:lastRow="0" w:firstColumn="1" w:lastColumn="0" w:oddVBand="0" w:evenVBand="0" w:oddHBand="0" w:evenHBand="0" w:firstRowFirstColumn="0" w:firstRowLastColumn="0" w:lastRowFirstColumn="0" w:lastRowLastColumn="0"/>
            <w:tcW w:w="2027" w:type="dxa"/>
          </w:tcPr>
          <w:p w:rsidR="00670578" w:rsidRPr="000A2AB3" w:rsidRDefault="00670578" w:rsidP="00AB7D4D">
            <w:pPr>
              <w:rPr>
                <w:rFonts w:cs="Arial"/>
                <w:b w:val="0"/>
                <w:bCs w:val="0"/>
              </w:rPr>
            </w:pPr>
            <w:r w:rsidRPr="000A2AB3">
              <w:rPr>
                <w:rFonts w:cs="Arial"/>
                <w:b w:val="0"/>
                <w:bCs w:val="0"/>
              </w:rPr>
              <w:t>Královéhradecký</w:t>
            </w:r>
          </w:p>
        </w:tc>
        <w:tc>
          <w:tcPr>
            <w:tcW w:w="15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122</w:t>
            </w:r>
          </w:p>
        </w:tc>
        <w:tc>
          <w:tcPr>
            <w:tcW w:w="1133" w:type="dxa"/>
          </w:tcPr>
          <w:p w:rsidR="00670578" w:rsidRPr="000A2AB3" w:rsidRDefault="00670578" w:rsidP="00ED6635">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260</w:t>
            </w:r>
          </w:p>
        </w:tc>
        <w:tc>
          <w:tcPr>
            <w:tcW w:w="1097"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100</w:t>
            </w:r>
          </w:p>
        </w:tc>
        <w:tc>
          <w:tcPr>
            <w:tcW w:w="1170" w:type="dxa"/>
            <w:gridSpan w:val="2"/>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176</w:t>
            </w:r>
          </w:p>
        </w:tc>
        <w:tc>
          <w:tcPr>
            <w:tcW w:w="112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129</w:t>
            </w:r>
          </w:p>
        </w:tc>
        <w:tc>
          <w:tcPr>
            <w:tcW w:w="1244" w:type="dxa"/>
          </w:tcPr>
          <w:p w:rsidR="00670578" w:rsidRPr="000A2AB3" w:rsidRDefault="00670578"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103</w:t>
            </w:r>
          </w:p>
        </w:tc>
      </w:tr>
      <w:tr w:rsidR="00670578" w:rsidRPr="000A2AB3" w:rsidTr="0099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7" w:type="dxa"/>
          </w:tcPr>
          <w:p w:rsidR="00670578" w:rsidRPr="000A2AB3" w:rsidRDefault="00670578" w:rsidP="00AB7D4D">
            <w:pPr>
              <w:rPr>
                <w:rFonts w:cs="Arial"/>
                <w:b w:val="0"/>
                <w:bCs w:val="0"/>
              </w:rPr>
            </w:pPr>
          </w:p>
        </w:tc>
        <w:tc>
          <w:tcPr>
            <w:tcW w:w="15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130</w:t>
            </w:r>
          </w:p>
        </w:tc>
        <w:tc>
          <w:tcPr>
            <w:tcW w:w="1133"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352</w:t>
            </w:r>
          </w:p>
        </w:tc>
        <w:tc>
          <w:tcPr>
            <w:tcW w:w="1097"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93</w:t>
            </w:r>
          </w:p>
        </w:tc>
        <w:tc>
          <w:tcPr>
            <w:tcW w:w="1170" w:type="dxa"/>
            <w:gridSpan w:val="2"/>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186</w:t>
            </w:r>
          </w:p>
        </w:tc>
        <w:tc>
          <w:tcPr>
            <w:tcW w:w="112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151</w:t>
            </w:r>
          </w:p>
        </w:tc>
        <w:tc>
          <w:tcPr>
            <w:tcW w:w="1244" w:type="dxa"/>
          </w:tcPr>
          <w:p w:rsidR="00670578" w:rsidRPr="000A2AB3" w:rsidRDefault="00670578" w:rsidP="00AB7D4D">
            <w:pPr>
              <w:jc w:val="center"/>
              <w:cnfStyle w:val="000000100000" w:firstRow="0" w:lastRow="0" w:firstColumn="0" w:lastColumn="0" w:oddVBand="0" w:evenVBand="0" w:oddHBand="1" w:evenHBand="0" w:firstRowFirstColumn="0" w:firstRowLastColumn="0" w:lastRowFirstColumn="0" w:lastRowLastColumn="0"/>
              <w:rPr>
                <w:rFonts w:cs="Arial"/>
                <w:bCs/>
              </w:rPr>
            </w:pPr>
            <w:r w:rsidRPr="000A2AB3">
              <w:rPr>
                <w:rFonts w:cs="Arial"/>
                <w:bCs/>
              </w:rPr>
              <w:t>108</w:t>
            </w:r>
          </w:p>
        </w:tc>
      </w:tr>
      <w:tr w:rsidR="006348E3" w:rsidRPr="000A2AB3" w:rsidTr="00996E9C">
        <w:tc>
          <w:tcPr>
            <w:cnfStyle w:val="001000000000" w:firstRow="0" w:lastRow="0" w:firstColumn="1" w:lastColumn="0" w:oddVBand="0" w:evenVBand="0" w:oddHBand="0" w:evenHBand="0" w:firstRowFirstColumn="0" w:firstRowLastColumn="0" w:lastRowFirstColumn="0" w:lastRowLastColumn="0"/>
            <w:tcW w:w="2027" w:type="dxa"/>
          </w:tcPr>
          <w:p w:rsidR="006348E3" w:rsidRPr="000A2AB3" w:rsidRDefault="006348E3" w:rsidP="00AB7D4D">
            <w:pPr>
              <w:rPr>
                <w:rFonts w:cs="Arial"/>
                <w:b w:val="0"/>
                <w:bCs w:val="0"/>
              </w:rPr>
            </w:pPr>
          </w:p>
        </w:tc>
        <w:tc>
          <w:tcPr>
            <w:tcW w:w="1544" w:type="dxa"/>
          </w:tcPr>
          <w:p w:rsidR="006348E3" w:rsidRPr="000A2AB3" w:rsidRDefault="007B76A2"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126</w:t>
            </w:r>
          </w:p>
        </w:tc>
        <w:tc>
          <w:tcPr>
            <w:tcW w:w="1133" w:type="dxa"/>
          </w:tcPr>
          <w:p w:rsidR="006348E3" w:rsidRPr="000A2AB3" w:rsidRDefault="007B76A2"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302</w:t>
            </w:r>
          </w:p>
        </w:tc>
        <w:tc>
          <w:tcPr>
            <w:tcW w:w="1097" w:type="dxa"/>
          </w:tcPr>
          <w:p w:rsidR="006348E3" w:rsidRPr="000A2AB3" w:rsidRDefault="007B76A2"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81</w:t>
            </w:r>
          </w:p>
        </w:tc>
        <w:tc>
          <w:tcPr>
            <w:tcW w:w="1170" w:type="dxa"/>
            <w:gridSpan w:val="2"/>
          </w:tcPr>
          <w:p w:rsidR="006348E3" w:rsidRPr="000A2AB3" w:rsidRDefault="007B76A2"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188</w:t>
            </w:r>
          </w:p>
        </w:tc>
        <w:tc>
          <w:tcPr>
            <w:tcW w:w="1124" w:type="dxa"/>
          </w:tcPr>
          <w:p w:rsidR="006348E3" w:rsidRPr="000A2AB3" w:rsidRDefault="007B76A2"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127</w:t>
            </w:r>
          </w:p>
        </w:tc>
        <w:tc>
          <w:tcPr>
            <w:tcW w:w="1244" w:type="dxa"/>
          </w:tcPr>
          <w:p w:rsidR="006348E3" w:rsidRPr="000A2AB3" w:rsidRDefault="007B76A2" w:rsidP="00AB7D4D">
            <w:pPr>
              <w:jc w:val="center"/>
              <w:cnfStyle w:val="000000000000" w:firstRow="0" w:lastRow="0" w:firstColumn="0" w:lastColumn="0" w:oddVBand="0" w:evenVBand="0" w:oddHBand="0" w:evenHBand="0" w:firstRowFirstColumn="0" w:firstRowLastColumn="0" w:lastRowFirstColumn="0" w:lastRowLastColumn="0"/>
              <w:rPr>
                <w:rFonts w:cs="Arial"/>
                <w:bCs/>
              </w:rPr>
            </w:pPr>
            <w:r w:rsidRPr="000A2AB3">
              <w:rPr>
                <w:rFonts w:cs="Arial"/>
                <w:bCs/>
              </w:rPr>
              <w:t>123</w:t>
            </w:r>
          </w:p>
        </w:tc>
      </w:tr>
    </w:tbl>
    <w:p w:rsidR="00F9270E" w:rsidRPr="000A2AB3" w:rsidRDefault="00634DC1" w:rsidP="00952333">
      <w:pPr>
        <w:rPr>
          <w:sz w:val="20"/>
          <w:szCs w:val="20"/>
        </w:rPr>
      </w:pPr>
      <w:r w:rsidRPr="000A2AB3">
        <w:rPr>
          <w:sz w:val="20"/>
          <w:szCs w:val="20"/>
        </w:rPr>
        <w:t>*) do seznamu pro účely hodnocení výživových hodnoty byla zařazena dvě zařízení zdravotnických služeb, která druhem pacientů/klientů spadají do kategorie seniorské části populace</w:t>
      </w:r>
    </w:p>
    <w:p w:rsidR="00634DC1" w:rsidRPr="000A2AB3" w:rsidRDefault="00634DC1" w:rsidP="00952333">
      <w:pPr>
        <w:rPr>
          <w:szCs w:val="22"/>
        </w:rPr>
      </w:pPr>
    </w:p>
    <w:p w:rsidR="00807D65" w:rsidRPr="000A2AB3" w:rsidRDefault="00807D65" w:rsidP="00807D65">
      <w:pPr>
        <w:tabs>
          <w:tab w:val="left" w:pos="8196"/>
        </w:tabs>
        <w:rPr>
          <w:rFonts w:cs="Arial"/>
        </w:rPr>
      </w:pPr>
      <w:r w:rsidRPr="000A2AB3">
        <w:rPr>
          <w:rFonts w:cs="Arial"/>
          <w:szCs w:val="22"/>
        </w:rPr>
        <w:t xml:space="preserve">Graf č. 4: </w:t>
      </w:r>
      <w:r w:rsidRPr="000A2AB3">
        <w:rPr>
          <w:rFonts w:cs="Arial"/>
          <w:bCs/>
          <w:szCs w:val="22"/>
        </w:rPr>
        <w:t xml:space="preserve">Porovnání plnění energetické hodnoty </w:t>
      </w:r>
      <w:r w:rsidRPr="000A2AB3">
        <w:rPr>
          <w:rFonts w:cs="Arial"/>
          <w:bCs/>
        </w:rPr>
        <w:t>– zařízení sociálních služeb</w:t>
      </w:r>
    </w:p>
    <w:p w:rsidR="00807D65" w:rsidRPr="000A2AB3" w:rsidRDefault="00807D65" w:rsidP="00807D65">
      <w:pPr>
        <w:pStyle w:val="Odstavecseseznamem"/>
        <w:ind w:left="0"/>
        <w:rPr>
          <w:rFonts w:ascii="Arial" w:hAnsi="Arial" w:cs="Arial"/>
          <w:b/>
          <w:sz w:val="22"/>
          <w:szCs w:val="22"/>
        </w:rPr>
      </w:pPr>
      <w:r w:rsidRPr="000A2AB3">
        <w:rPr>
          <w:noProof/>
        </w:rPr>
        <w:drawing>
          <wp:inline distT="0" distB="0" distL="0" distR="0" wp14:anchorId="75B6EA88" wp14:editId="05505D9E">
            <wp:extent cx="5757771" cy="2253554"/>
            <wp:effectExtent l="0" t="0" r="14605" b="1397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150F" w:rsidRPr="000A2AB3" w:rsidRDefault="00DC150F" w:rsidP="000250D3">
      <w:pPr>
        <w:rPr>
          <w:szCs w:val="22"/>
        </w:rPr>
      </w:pPr>
      <w:r w:rsidRPr="000A2AB3">
        <w:rPr>
          <w:szCs w:val="22"/>
        </w:rPr>
        <w:t xml:space="preserve">Graf č. </w:t>
      </w:r>
      <w:r w:rsidR="00807D65" w:rsidRPr="000A2AB3">
        <w:rPr>
          <w:szCs w:val="22"/>
        </w:rPr>
        <w:t>5</w:t>
      </w:r>
      <w:r w:rsidRPr="000A2AB3">
        <w:rPr>
          <w:szCs w:val="22"/>
        </w:rPr>
        <w:t>:</w:t>
      </w:r>
      <w:r w:rsidR="000250D3" w:rsidRPr="000A2AB3">
        <w:rPr>
          <w:szCs w:val="22"/>
        </w:rPr>
        <w:t xml:space="preserve"> P</w:t>
      </w:r>
      <w:r w:rsidR="000250D3" w:rsidRPr="000A2AB3">
        <w:rPr>
          <w:rFonts w:cs="Arial"/>
          <w:bCs/>
        </w:rPr>
        <w:t xml:space="preserve">orovnání plnění výživových dávek vybraných živin (porovnání laboratorně zjištěné průměrné hodnoty (bez započtení nejistoty) s průměrnými referenčními hodnotami stanovenými podle DACH) – zařízení sociálních služeb </w:t>
      </w:r>
    </w:p>
    <w:p w:rsidR="00DC150F" w:rsidRPr="000A2AB3" w:rsidRDefault="007B76A2" w:rsidP="00952333">
      <w:pPr>
        <w:rPr>
          <w:b/>
          <w:sz w:val="28"/>
          <w:szCs w:val="28"/>
        </w:rPr>
      </w:pPr>
      <w:r w:rsidRPr="000A2AB3">
        <w:rPr>
          <w:noProof/>
        </w:rPr>
        <w:drawing>
          <wp:inline distT="0" distB="0" distL="0" distR="0" wp14:anchorId="772433C3" wp14:editId="42E2B6FA">
            <wp:extent cx="5757771" cy="2843489"/>
            <wp:effectExtent l="0" t="0" r="14605" b="1460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3B2C" w:rsidRPr="000A2AB3" w:rsidRDefault="00683B2C" w:rsidP="00683B2C">
      <w:pPr>
        <w:pStyle w:val="Odstavecseseznamem"/>
        <w:ind w:left="530"/>
        <w:rPr>
          <w:rFonts w:ascii="Arial" w:hAnsi="Arial" w:cs="Arial"/>
          <w:b/>
          <w:sz w:val="22"/>
          <w:szCs w:val="22"/>
        </w:rPr>
      </w:pPr>
    </w:p>
    <w:p w:rsidR="00683B2C" w:rsidRPr="000F00C6" w:rsidRDefault="00662967" w:rsidP="00A87604">
      <w:pPr>
        <w:tabs>
          <w:tab w:val="left" w:pos="8196"/>
        </w:tabs>
        <w:rPr>
          <w:rFonts w:cs="Arial"/>
          <w:szCs w:val="22"/>
        </w:rPr>
      </w:pPr>
      <w:r w:rsidRPr="000F00C6">
        <w:rPr>
          <w:rFonts w:cs="Arial"/>
          <w:szCs w:val="22"/>
        </w:rPr>
        <w:t xml:space="preserve">Graf č. </w:t>
      </w:r>
      <w:r w:rsidR="006B6D78" w:rsidRPr="000F00C6">
        <w:rPr>
          <w:rFonts w:cs="Arial"/>
          <w:szCs w:val="22"/>
        </w:rPr>
        <w:t>6</w:t>
      </w:r>
      <w:r w:rsidRPr="000F00C6">
        <w:rPr>
          <w:rFonts w:cs="Arial"/>
          <w:szCs w:val="22"/>
        </w:rPr>
        <w:t>:</w:t>
      </w:r>
      <w:r w:rsidR="000250D3" w:rsidRPr="000F00C6">
        <w:rPr>
          <w:rFonts w:cs="Arial"/>
          <w:szCs w:val="22"/>
        </w:rPr>
        <w:t xml:space="preserve"> </w:t>
      </w:r>
      <w:r w:rsidR="000250D3" w:rsidRPr="000F00C6">
        <w:rPr>
          <w:rFonts w:cs="Arial"/>
          <w:bCs/>
          <w:szCs w:val="22"/>
        </w:rPr>
        <w:t xml:space="preserve">Porovnání plnění trojkombinace – obsahu bílkovin, tuků a sacharidů </w:t>
      </w:r>
      <w:r w:rsidR="000250D3" w:rsidRPr="000F00C6">
        <w:rPr>
          <w:rFonts w:cs="Arial"/>
          <w:bCs/>
        </w:rPr>
        <w:t>– zařízení sociálních služeb</w:t>
      </w:r>
    </w:p>
    <w:p w:rsidR="00662967" w:rsidRPr="000A2AB3" w:rsidRDefault="00F24A3F" w:rsidP="00662967">
      <w:pPr>
        <w:rPr>
          <w:rFonts w:cs="Arial"/>
          <w:b/>
          <w:szCs w:val="22"/>
        </w:rPr>
      </w:pPr>
      <w:r w:rsidRPr="000A2AB3">
        <w:rPr>
          <w:noProof/>
        </w:rPr>
        <w:drawing>
          <wp:inline distT="0" distB="0" distL="0" distR="0" wp14:anchorId="0E926752" wp14:editId="219267BE">
            <wp:extent cx="5852160" cy="2914281"/>
            <wp:effectExtent l="0" t="0" r="15240" b="1968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1E90" w:rsidRPr="000A2AB3" w:rsidRDefault="00061E90" w:rsidP="00061E90">
      <w:pPr>
        <w:tabs>
          <w:tab w:val="left" w:pos="8196"/>
        </w:tabs>
        <w:rPr>
          <w:rFonts w:cs="Arial"/>
        </w:rPr>
      </w:pPr>
      <w:r w:rsidRPr="000A2AB3">
        <w:rPr>
          <w:rFonts w:cs="Arial"/>
        </w:rPr>
        <w:t xml:space="preserve">Z výsledků laboratorních analýz vyplývá, že zjištěná energetická hodnota sedmidenního vzorku je v případě zařízení sociálních služeb dodržována (s výjimkou jednoho vzorku, kdy bylo zjištěno 87%ní plnění průměrné referenční dávky), a naopak ve většině případů průměrná doporučená energetická hodnota překročila 100%. Jak je patrné z grafu č. 6, laboratorními analýzami byl potvrzen ve všech případech vyšší obsah bílkovin a ve většině případů i obsah tuků. Průměrná referenční dávka tuků nebyla naplněna pouze v 5 případech. V případě sacharidů byla naopak situace opačná, kdy obsah byl naplněn (překročen) pouze v 11 případech, v ostatních vzorcích byl obsah sacharidů nižší než průměrná referenční dávka.  </w:t>
      </w:r>
    </w:p>
    <w:p w:rsidR="00807D65" w:rsidRPr="000A2AB3" w:rsidRDefault="00807D65" w:rsidP="00061E90">
      <w:pPr>
        <w:rPr>
          <w:rFonts w:cs="Arial"/>
          <w:bCs/>
        </w:rPr>
        <w:sectPr w:rsidR="00807D65" w:rsidRPr="000A2AB3">
          <w:footerReference w:type="default" r:id="rId22"/>
          <w:pgSz w:w="11906" w:h="16838"/>
          <w:pgMar w:top="1417" w:right="1417" w:bottom="1417" w:left="1417" w:header="708" w:footer="708" w:gutter="0"/>
          <w:cols w:space="708"/>
          <w:docGrid w:linePitch="360"/>
        </w:sectPr>
      </w:pPr>
    </w:p>
    <w:p w:rsidR="00061E90" w:rsidRPr="000A2AB3" w:rsidRDefault="00061E90" w:rsidP="00061E90">
      <w:pPr>
        <w:rPr>
          <w:rFonts w:cs="Arial"/>
        </w:rPr>
      </w:pPr>
      <w:r w:rsidRPr="000A2AB3">
        <w:rPr>
          <w:rFonts w:cs="Arial"/>
          <w:bCs/>
        </w:rPr>
        <w:t xml:space="preserve">V případě zařízení sociálních služeb je </w:t>
      </w:r>
      <w:r w:rsidR="00807D65" w:rsidRPr="000A2AB3">
        <w:rPr>
          <w:rFonts w:cs="Arial"/>
          <w:bCs/>
        </w:rPr>
        <w:t xml:space="preserve">nedodržení </w:t>
      </w:r>
      <w:r w:rsidRPr="000A2AB3">
        <w:rPr>
          <w:rFonts w:cs="Arial"/>
          <w:bCs/>
        </w:rPr>
        <w:t>optimální trojkombinace bílkoviny / tuky / sacharidy problematičtější, protože klienti těchto zařízení zde pobývají dlouhodobě. Skladb</w:t>
      </w:r>
      <w:r w:rsidRPr="000A2AB3">
        <w:rPr>
          <w:rFonts w:cs="Arial"/>
          <w:szCs w:val="22"/>
        </w:rPr>
        <w:t>a stravy v těchto případech je součástí doživotní komplexní zdravotní péče o klienta a měly by odpo</w:t>
      </w:r>
      <w:r w:rsidR="00807D65" w:rsidRPr="000A2AB3">
        <w:rPr>
          <w:rFonts w:cs="Arial"/>
          <w:szCs w:val="22"/>
        </w:rPr>
        <w:t>v</w:t>
      </w:r>
      <w:r w:rsidRPr="000A2AB3">
        <w:rPr>
          <w:rFonts w:cs="Arial"/>
          <w:szCs w:val="22"/>
        </w:rPr>
        <w:t xml:space="preserve">ídat současným trendům ve výživě. </w:t>
      </w:r>
    </w:p>
    <w:p w:rsidR="00807D65" w:rsidRPr="000A2AB3" w:rsidRDefault="00807D65" w:rsidP="00683B2C">
      <w:pPr>
        <w:pStyle w:val="Odstavecseseznamem"/>
        <w:ind w:left="530"/>
        <w:rPr>
          <w:rFonts w:ascii="Arial" w:hAnsi="Arial" w:cs="Arial"/>
          <w:b/>
          <w:sz w:val="22"/>
          <w:szCs w:val="22"/>
        </w:rPr>
        <w:sectPr w:rsidR="00807D65" w:rsidRPr="000A2AB3" w:rsidSect="00807D65">
          <w:type w:val="continuous"/>
          <w:pgSz w:w="11906" w:h="16838"/>
          <w:pgMar w:top="1417" w:right="1417" w:bottom="1417" w:left="1417" w:header="708" w:footer="708" w:gutter="0"/>
          <w:cols w:space="708"/>
          <w:docGrid w:linePitch="360"/>
        </w:sectPr>
      </w:pPr>
    </w:p>
    <w:p w:rsidR="00662967" w:rsidRPr="000A2AB3" w:rsidRDefault="002666F1" w:rsidP="00662967">
      <w:pPr>
        <w:pStyle w:val="Odstavecseseznamem"/>
        <w:numPr>
          <w:ilvl w:val="0"/>
          <w:numId w:val="17"/>
        </w:numPr>
        <w:rPr>
          <w:rFonts w:ascii="Arial" w:hAnsi="Arial" w:cs="Arial"/>
          <w:b/>
          <w:sz w:val="22"/>
          <w:szCs w:val="22"/>
        </w:rPr>
      </w:pPr>
      <w:r w:rsidRPr="000A2AB3">
        <w:rPr>
          <w:rFonts w:ascii="Arial" w:hAnsi="Arial" w:cs="Arial"/>
          <w:b/>
          <w:sz w:val="22"/>
          <w:szCs w:val="22"/>
        </w:rPr>
        <w:t>Hodnocení pestrosti stravy</w:t>
      </w:r>
    </w:p>
    <w:p w:rsidR="002666F1" w:rsidRPr="000A2AB3" w:rsidRDefault="002666F1" w:rsidP="00662967">
      <w:pPr>
        <w:rPr>
          <w:rFonts w:cs="Arial"/>
          <w:b/>
          <w:szCs w:val="22"/>
        </w:rPr>
      </w:pPr>
      <w:r w:rsidRPr="000A2AB3">
        <w:rPr>
          <w:rFonts w:cs="Arial"/>
          <w:szCs w:val="22"/>
        </w:rPr>
        <w:t xml:space="preserve">Obecně platí, že pokrmy se nemají opakovat častěji než 2x do měsíce. </w:t>
      </w:r>
      <w:r w:rsidR="00662967" w:rsidRPr="000A2AB3">
        <w:rPr>
          <w:rFonts w:cs="Arial"/>
          <w:szCs w:val="22"/>
        </w:rPr>
        <w:t>I když se hodnocení se liší podle druhu stravování, k</w:t>
      </w:r>
      <w:r w:rsidRPr="000A2AB3">
        <w:rPr>
          <w:rFonts w:cs="Arial"/>
          <w:szCs w:val="22"/>
        </w:rPr>
        <w:t xml:space="preserve">oeficient pestrosti </w:t>
      </w:r>
      <w:r w:rsidR="006348E3" w:rsidRPr="000A2AB3">
        <w:rPr>
          <w:rFonts w:cs="Arial"/>
          <w:szCs w:val="22"/>
        </w:rPr>
        <w:t xml:space="preserve">by neměl </w:t>
      </w:r>
      <w:r w:rsidRPr="000A2AB3">
        <w:rPr>
          <w:rFonts w:cs="Arial"/>
          <w:szCs w:val="22"/>
        </w:rPr>
        <w:t xml:space="preserve">být nižší než 0,5. </w:t>
      </w:r>
    </w:p>
    <w:p w:rsidR="00562D7F" w:rsidRPr="000A2AB3" w:rsidRDefault="00562D7F" w:rsidP="00562D7F">
      <w:pPr>
        <w:rPr>
          <w:rFonts w:cs="Arial"/>
          <w:szCs w:val="22"/>
        </w:rPr>
      </w:pPr>
      <w:r w:rsidRPr="000A2AB3">
        <w:rPr>
          <w:rFonts w:cs="Arial"/>
          <w:szCs w:val="22"/>
        </w:rPr>
        <w:t>Pestrost stravy se hodnotila bodováním jídelníčku za 4 týdny. Pokrmy, které se poprvé objevily v jídelníčku, byly ohodnoceny jedním bodem. Byl-li pokrm na jídelníčku opakovaně, nebo jen s nepatrnou obměnou, bod již neobdržel. Následně byl vypočten koeficient pestrosti podle vzorce:</w:t>
      </w:r>
    </w:p>
    <w:p w:rsidR="00562D7F" w:rsidRPr="000A2AB3" w:rsidRDefault="00562D7F" w:rsidP="00562D7F">
      <w:pPr>
        <w:ind w:left="170"/>
        <w:jc w:val="center"/>
        <w:rPr>
          <w:rFonts w:cs="Arial"/>
          <w:szCs w:val="22"/>
        </w:rPr>
      </w:pPr>
      <w:r w:rsidRPr="000A2AB3">
        <w:rPr>
          <w:rFonts w:cs="Arial"/>
          <w:szCs w:val="22"/>
        </w:rPr>
        <w:t>koeficient pestrosti = počet jídel / počet dnů</w:t>
      </w:r>
      <w:r w:rsidR="006348E3" w:rsidRPr="000A2AB3">
        <w:rPr>
          <w:rFonts w:cs="Arial"/>
          <w:szCs w:val="22"/>
        </w:rPr>
        <w:t>.</w:t>
      </w:r>
    </w:p>
    <w:p w:rsidR="002666F1" w:rsidRPr="000A2AB3" w:rsidRDefault="002666F1" w:rsidP="00662967">
      <w:pPr>
        <w:tabs>
          <w:tab w:val="left" w:pos="5565"/>
        </w:tabs>
        <w:rPr>
          <w:rFonts w:cs="Arial"/>
          <w:szCs w:val="22"/>
        </w:rPr>
      </w:pPr>
    </w:p>
    <w:p w:rsidR="00562D7F" w:rsidRPr="000A2AB3" w:rsidRDefault="00562D7F" w:rsidP="00562D7F">
      <w:pPr>
        <w:rPr>
          <w:rFonts w:cs="Arial"/>
          <w:szCs w:val="22"/>
        </w:rPr>
      </w:pPr>
      <w:r w:rsidRPr="000A2AB3">
        <w:rPr>
          <w:rFonts w:cs="Arial"/>
          <w:szCs w:val="22"/>
        </w:rPr>
        <w:t>Prioritně se hodnotila dieta č. 3 (racionální), případně ta dieta, která byla podávána nejčastěji. Koeficientem pestrosti byla hodnocena každá část celodenní stravy zvlášť, a následně byl vypočten celkový koeficient celodenní stravy. V návaznosti na realizaci úkolu se stejným zadáním v roce 2014 byl v případě sníd</w:t>
      </w:r>
      <w:r w:rsidR="006348E3" w:rsidRPr="000A2AB3">
        <w:rPr>
          <w:rFonts w:cs="Arial"/>
          <w:szCs w:val="22"/>
        </w:rPr>
        <w:t>a</w:t>
      </w:r>
      <w:r w:rsidRPr="000A2AB3">
        <w:rPr>
          <w:rFonts w:cs="Arial"/>
          <w:szCs w:val="22"/>
        </w:rPr>
        <w:t xml:space="preserve">ní a přesnídávek byl koeficient 0,3 – 0,51 považován za dostatečný. </w:t>
      </w:r>
    </w:p>
    <w:p w:rsidR="002666F1" w:rsidRPr="000A2AB3" w:rsidRDefault="002666F1" w:rsidP="00562D7F">
      <w:pPr>
        <w:tabs>
          <w:tab w:val="left" w:pos="5565"/>
        </w:tabs>
        <w:rPr>
          <w:rFonts w:cs="Arial"/>
          <w:szCs w:val="22"/>
        </w:rPr>
      </w:pPr>
    </w:p>
    <w:p w:rsidR="00C64D85" w:rsidRPr="000A2AB3" w:rsidRDefault="00340AFC" w:rsidP="00A6461E">
      <w:pPr>
        <w:rPr>
          <w:rFonts w:cs="Arial"/>
          <w:szCs w:val="22"/>
        </w:rPr>
      </w:pPr>
      <w:r w:rsidRPr="000A2AB3">
        <w:rPr>
          <w:rFonts w:cs="Arial"/>
          <w:szCs w:val="22"/>
        </w:rPr>
        <w:t xml:space="preserve">Koeficient pestrosti stravy u </w:t>
      </w:r>
      <w:r w:rsidRPr="000A2AB3">
        <w:rPr>
          <w:rFonts w:cs="Arial"/>
          <w:bCs/>
          <w:szCs w:val="22"/>
        </w:rPr>
        <w:t xml:space="preserve">snídaní </w:t>
      </w:r>
      <w:r w:rsidR="00A66875" w:rsidRPr="000A2AB3">
        <w:rPr>
          <w:rFonts w:cs="Arial"/>
          <w:bCs/>
          <w:szCs w:val="22"/>
        </w:rPr>
        <w:t xml:space="preserve">a přesnídávek (dopolední nebo odpolední svačiny) se lišil, a vzhledem ke způsobu jejich realizace nebylo vždy možné koeficient pestrosti stanovit, např. v jednom zařízení dopolední svačiny byla tvořena každodenně hrnkem mléka, nebo se jednalo o stále se opakující nabídku. </w:t>
      </w:r>
      <w:r w:rsidR="00A47DA3" w:rsidRPr="000A2AB3">
        <w:rPr>
          <w:rFonts w:cs="Arial"/>
          <w:szCs w:val="22"/>
        </w:rPr>
        <w:t xml:space="preserve">Pestrost snídaní byla často snižována stále se opakujícími druhy pečiva. </w:t>
      </w:r>
      <w:r w:rsidR="00A66875" w:rsidRPr="000A2AB3">
        <w:rPr>
          <w:rFonts w:cs="Arial"/>
          <w:szCs w:val="22"/>
        </w:rPr>
        <w:t xml:space="preserve">Přesnídávky nebyly poskytovány ve všech zařízeních, </w:t>
      </w:r>
      <w:r w:rsidR="00D3454C" w:rsidRPr="000A2AB3">
        <w:rPr>
          <w:rFonts w:cs="Arial"/>
          <w:szCs w:val="22"/>
        </w:rPr>
        <w:t>kd</w:t>
      </w:r>
      <w:r w:rsidR="00A66875" w:rsidRPr="000A2AB3">
        <w:rPr>
          <w:rFonts w:cs="Arial"/>
          <w:szCs w:val="22"/>
        </w:rPr>
        <w:t>y</w:t>
      </w:r>
      <w:r w:rsidR="00D3454C" w:rsidRPr="000A2AB3">
        <w:rPr>
          <w:rFonts w:cs="Arial"/>
          <w:szCs w:val="22"/>
        </w:rPr>
        <w:t xml:space="preserve"> koeficient pestrosti byl nízký, v několika případech nedostatečný. V řadě případů nebylo možné koeficient pestrosti stanovit, např. v některých případech si klienti ke svačině berou pokrmy již u snídaně, v některých zařízeních existuje „celodenní“ nabídka, kdy klienti si mohou sami brát připravené potraviny kdykoli během dne včetně nápojů. Z výsledků monitoringu však vyplývá, že nabídka potravin a pokrmů v rámci svačin a přesnídávek není příliš pestrá.</w:t>
      </w:r>
      <w:r w:rsidR="00A6461E" w:rsidRPr="000A2AB3">
        <w:rPr>
          <w:rFonts w:cs="Arial"/>
          <w:szCs w:val="22"/>
        </w:rPr>
        <w:t xml:space="preserve"> </w:t>
      </w:r>
      <w:r w:rsidR="00C64D85" w:rsidRPr="000A2AB3">
        <w:rPr>
          <w:rFonts w:cs="Arial"/>
          <w:szCs w:val="22"/>
        </w:rPr>
        <w:t xml:space="preserve">V případě snídaní </w:t>
      </w:r>
      <w:r w:rsidR="00D3454C" w:rsidRPr="000A2AB3">
        <w:rPr>
          <w:rFonts w:cs="Arial"/>
          <w:szCs w:val="22"/>
        </w:rPr>
        <w:t xml:space="preserve">se </w:t>
      </w:r>
      <w:r w:rsidR="00C64D85" w:rsidRPr="000A2AB3">
        <w:rPr>
          <w:rFonts w:cs="Arial"/>
          <w:szCs w:val="22"/>
        </w:rPr>
        <w:t>situace se v jednotlivých zařízeních lišila</w:t>
      </w:r>
      <w:r w:rsidR="00D3454C" w:rsidRPr="000A2AB3">
        <w:rPr>
          <w:rFonts w:cs="Arial"/>
          <w:szCs w:val="22"/>
        </w:rPr>
        <w:t xml:space="preserve">, ale v </w:t>
      </w:r>
      <w:r w:rsidR="00C64D85" w:rsidRPr="000A2AB3">
        <w:rPr>
          <w:rFonts w:cs="Arial"/>
          <w:szCs w:val="22"/>
        </w:rPr>
        <w:t xml:space="preserve">průměru bylo hodnocení horší ve zdravotnických zařízeních.  </w:t>
      </w:r>
    </w:p>
    <w:p w:rsidR="00C64D85" w:rsidRPr="000A2AB3" w:rsidRDefault="00C64D85" w:rsidP="00340AFC">
      <w:pPr>
        <w:rPr>
          <w:rFonts w:cs="Arial"/>
          <w:szCs w:val="22"/>
        </w:rPr>
      </w:pPr>
    </w:p>
    <w:p w:rsidR="00C64D85" w:rsidRPr="000A2AB3" w:rsidRDefault="00340AFC" w:rsidP="00340AFC">
      <w:pPr>
        <w:rPr>
          <w:rFonts w:cs="Arial"/>
          <w:szCs w:val="22"/>
        </w:rPr>
      </w:pPr>
      <w:r w:rsidRPr="000A2AB3">
        <w:rPr>
          <w:rFonts w:cs="Arial"/>
          <w:szCs w:val="22"/>
        </w:rPr>
        <w:t xml:space="preserve">U </w:t>
      </w:r>
      <w:r w:rsidRPr="000A2AB3">
        <w:rPr>
          <w:rFonts w:cs="Arial"/>
          <w:bCs/>
          <w:szCs w:val="22"/>
        </w:rPr>
        <w:t xml:space="preserve">obědů </w:t>
      </w:r>
      <w:r w:rsidRPr="000A2AB3">
        <w:rPr>
          <w:rFonts w:cs="Arial"/>
          <w:szCs w:val="22"/>
        </w:rPr>
        <w:t>byl hodnocen koeficient pestrosti stravy jak u polévek, tak u hlavních pokrmů, zároveň byl vypočítán koeficient pro celý oběd.</w:t>
      </w:r>
      <w:r w:rsidR="00A31E17" w:rsidRPr="000A2AB3">
        <w:rPr>
          <w:rFonts w:cs="Arial"/>
          <w:szCs w:val="22"/>
        </w:rPr>
        <w:t xml:space="preserve"> </w:t>
      </w:r>
      <w:r w:rsidR="00C64D85" w:rsidRPr="000A2AB3">
        <w:rPr>
          <w:rFonts w:cs="Arial"/>
          <w:szCs w:val="22"/>
        </w:rPr>
        <w:t xml:space="preserve">Pestrost obědů byla hodnocena v naprosté většině jako velmi dobrá nebo výborná. </w:t>
      </w:r>
      <w:r w:rsidRPr="000A2AB3">
        <w:rPr>
          <w:rFonts w:cs="Arial"/>
          <w:szCs w:val="22"/>
        </w:rPr>
        <w:t xml:space="preserve">Obědy tedy byly vyvážené a pestré. </w:t>
      </w:r>
      <w:r w:rsidR="00C64D85" w:rsidRPr="000A2AB3">
        <w:rPr>
          <w:rFonts w:cs="Arial"/>
          <w:szCs w:val="22"/>
        </w:rPr>
        <w:t>U polévek vycházel koeficient jako velmi dobrý nebo dobrý, v</w:t>
      </w:r>
      <w:r w:rsidR="00D3454C" w:rsidRPr="000A2AB3">
        <w:rPr>
          <w:rFonts w:cs="Arial"/>
          <w:szCs w:val="22"/>
        </w:rPr>
        <w:t xml:space="preserve"> několika málo případech byla pestrost hodnocena jako </w:t>
      </w:r>
      <w:r w:rsidR="00C64D85" w:rsidRPr="000A2AB3">
        <w:rPr>
          <w:rFonts w:cs="Arial"/>
          <w:szCs w:val="22"/>
        </w:rPr>
        <w:t>nízk</w:t>
      </w:r>
      <w:r w:rsidR="00D3454C" w:rsidRPr="000A2AB3">
        <w:rPr>
          <w:rFonts w:cs="Arial"/>
          <w:szCs w:val="22"/>
        </w:rPr>
        <w:t xml:space="preserve">á. </w:t>
      </w:r>
    </w:p>
    <w:p w:rsidR="00340AFC" w:rsidRPr="000A2AB3" w:rsidRDefault="00340AFC" w:rsidP="00340AFC">
      <w:pPr>
        <w:rPr>
          <w:rFonts w:cs="Arial"/>
          <w:szCs w:val="22"/>
        </w:rPr>
      </w:pPr>
      <w:r w:rsidRPr="000A2AB3">
        <w:rPr>
          <w:rFonts w:cs="Arial"/>
          <w:szCs w:val="22"/>
        </w:rPr>
        <w:t xml:space="preserve">U </w:t>
      </w:r>
      <w:r w:rsidRPr="000A2AB3">
        <w:rPr>
          <w:rFonts w:cs="Arial"/>
          <w:bCs/>
          <w:szCs w:val="22"/>
        </w:rPr>
        <w:t>večeří</w:t>
      </w:r>
      <w:r w:rsidRPr="000A2AB3">
        <w:rPr>
          <w:rFonts w:cs="Arial"/>
          <w:szCs w:val="22"/>
        </w:rPr>
        <w:t xml:space="preserve"> </w:t>
      </w:r>
      <w:r w:rsidR="00C64D85" w:rsidRPr="000A2AB3">
        <w:rPr>
          <w:rFonts w:cs="Arial"/>
          <w:szCs w:val="22"/>
        </w:rPr>
        <w:t xml:space="preserve">byla pestrost na základě vypočteného koeficientu hodnocena jako </w:t>
      </w:r>
      <w:r w:rsidRPr="000A2AB3">
        <w:rPr>
          <w:rFonts w:cs="Arial"/>
          <w:szCs w:val="22"/>
        </w:rPr>
        <w:t xml:space="preserve">dobrá, velmi dobrá </w:t>
      </w:r>
      <w:r w:rsidR="00C64D85" w:rsidRPr="000A2AB3">
        <w:rPr>
          <w:rFonts w:cs="Arial"/>
          <w:szCs w:val="22"/>
        </w:rPr>
        <w:t xml:space="preserve">nebo </w:t>
      </w:r>
      <w:r w:rsidRPr="000A2AB3">
        <w:rPr>
          <w:rFonts w:cs="Arial"/>
          <w:szCs w:val="22"/>
        </w:rPr>
        <w:t>a výborná.</w:t>
      </w:r>
      <w:r w:rsidR="00C64D85" w:rsidRPr="000A2AB3">
        <w:rPr>
          <w:rFonts w:cs="Arial"/>
          <w:szCs w:val="22"/>
        </w:rPr>
        <w:t xml:space="preserve"> </w:t>
      </w:r>
      <w:r w:rsidR="00D3454C" w:rsidRPr="000A2AB3">
        <w:rPr>
          <w:rFonts w:cs="Arial"/>
          <w:szCs w:val="22"/>
        </w:rPr>
        <w:t>Večeře jsou ve většině případů podávány teplé, ale v průběhu týdne jsou na jídelníčku i večeře studené, zejména o víkendech. V některých zařízeních sociálních služeb jsou studené večeře v plánu přímo na přání klientů. Pestrost stravy byla lépe hodnocena v zařízeních sociálních služeb, než ve zdravotnických zařízení</w:t>
      </w:r>
      <w:r w:rsidR="00A6461E" w:rsidRPr="000A2AB3">
        <w:rPr>
          <w:rFonts w:cs="Arial"/>
          <w:szCs w:val="22"/>
        </w:rPr>
        <w:t xml:space="preserve">ch, </w:t>
      </w:r>
      <w:r w:rsidR="00D3454C" w:rsidRPr="000A2AB3">
        <w:rPr>
          <w:rFonts w:cs="Arial"/>
          <w:szCs w:val="22"/>
        </w:rPr>
        <w:t xml:space="preserve">kdy v některých případech byla pestrost hodnocena </w:t>
      </w:r>
      <w:r w:rsidR="00C64D85" w:rsidRPr="000A2AB3">
        <w:rPr>
          <w:rFonts w:cs="Arial"/>
          <w:szCs w:val="22"/>
        </w:rPr>
        <w:t>jako</w:t>
      </w:r>
      <w:r w:rsidR="00D3454C" w:rsidRPr="000A2AB3">
        <w:rPr>
          <w:rFonts w:cs="Arial"/>
          <w:szCs w:val="22"/>
        </w:rPr>
        <w:t xml:space="preserve"> nízká až</w:t>
      </w:r>
      <w:r w:rsidR="00C64D85" w:rsidRPr="000A2AB3">
        <w:rPr>
          <w:rFonts w:cs="Arial"/>
          <w:szCs w:val="22"/>
        </w:rPr>
        <w:t xml:space="preserve"> nedostatečná. </w:t>
      </w:r>
      <w:r w:rsidR="00A6461E" w:rsidRPr="000A2AB3">
        <w:rPr>
          <w:rFonts w:cs="Arial"/>
          <w:szCs w:val="22"/>
        </w:rPr>
        <w:t xml:space="preserve">Např. v jednom zdravotnickém zařízení byly sice podávány večeře jen studené, ale s velmi dobrou pestrostí, na rozdíl od jiných zařízení, kde sice byly podávány večeře teplé, ovšem koeficient pestrosti byl nízký. </w:t>
      </w:r>
    </w:p>
    <w:p w:rsidR="00340AFC" w:rsidRPr="000A2AB3" w:rsidRDefault="00340AFC" w:rsidP="00340AFC">
      <w:pPr>
        <w:rPr>
          <w:rFonts w:cs="Arial"/>
          <w:szCs w:val="22"/>
        </w:rPr>
      </w:pPr>
    </w:p>
    <w:p w:rsidR="00A31E17" w:rsidRPr="000A2AB3" w:rsidRDefault="00A31E17" w:rsidP="00A31E17">
      <w:pPr>
        <w:rPr>
          <w:rFonts w:cs="Arial"/>
          <w:szCs w:val="22"/>
        </w:rPr>
      </w:pPr>
      <w:r w:rsidRPr="000A2AB3">
        <w:rPr>
          <w:rFonts w:cs="Arial"/>
          <w:szCs w:val="22"/>
        </w:rPr>
        <w:t>Závěrem lze konstatovat, že pestrosti stravy je věnována ve všech sledovaných zařízeních pozornost. Pestrost stravy vycházela lépe v zařízeních sociálních služeb, což bylo dáno i volbou zdravotnických zařízení (porodnické oddělení) s krátkodobým pobytem osob. U zdravotnických zařízení byly však</w:t>
      </w:r>
      <w:r w:rsidR="00A6461E" w:rsidRPr="000A2AB3">
        <w:rPr>
          <w:rFonts w:cs="Arial"/>
          <w:szCs w:val="22"/>
        </w:rPr>
        <w:t>,</w:t>
      </w:r>
      <w:r w:rsidRPr="000A2AB3">
        <w:rPr>
          <w:rFonts w:cs="Arial"/>
          <w:szCs w:val="22"/>
        </w:rPr>
        <w:t xml:space="preserve"> co se týká pestrosti hodnoceny zejména obědy a večeře jako vyhovující. Pro cílovou skupinu kojící ženy je důležité zajištění dostatečného příjmu široké škály </w:t>
      </w:r>
      <w:r w:rsidR="00A6461E" w:rsidRPr="000A2AB3">
        <w:rPr>
          <w:rFonts w:cs="Arial"/>
          <w:szCs w:val="22"/>
        </w:rPr>
        <w:t>živin</w:t>
      </w:r>
      <w:r w:rsidRPr="000A2AB3">
        <w:rPr>
          <w:rFonts w:cs="Arial"/>
          <w:szCs w:val="22"/>
        </w:rPr>
        <w:t xml:space="preserve">, které lze dosáhnout vyváženou pestrou stravou. S ohledem na průměrnou délku pobytu pacientek na hodnoceném </w:t>
      </w:r>
      <w:r w:rsidR="00A6461E" w:rsidRPr="000A2AB3">
        <w:rPr>
          <w:rFonts w:cs="Arial"/>
          <w:szCs w:val="22"/>
        </w:rPr>
        <w:t xml:space="preserve">oddělení lze považovat výsledné </w:t>
      </w:r>
      <w:r w:rsidRPr="000A2AB3">
        <w:rPr>
          <w:rFonts w:cs="Arial"/>
          <w:szCs w:val="22"/>
        </w:rPr>
        <w:t>hodnocení pestrosti stravy za vyhovující.</w:t>
      </w:r>
    </w:p>
    <w:p w:rsidR="000A2AB3" w:rsidRPr="000A2AB3" w:rsidRDefault="000A2AB3" w:rsidP="000A2AB3">
      <w:pPr>
        <w:rPr>
          <w:rFonts w:cs="Arial"/>
          <w:szCs w:val="22"/>
        </w:rPr>
      </w:pPr>
      <w:r w:rsidRPr="000A2AB3">
        <w:rPr>
          <w:rFonts w:cs="Arial"/>
          <w:szCs w:val="22"/>
        </w:rPr>
        <w:t xml:space="preserve">Při běžném kontrolním šetření prováděném v roce 2015 bylo zjištěno, že </w:t>
      </w:r>
      <w:r w:rsidRPr="000A2AB3">
        <w:rPr>
          <w:rFonts w:cs="Arial"/>
          <w:bCs/>
          <w:szCs w:val="22"/>
        </w:rPr>
        <w:t>v provozovnách, kde probíhalo hodnocení pestrosti stravy v roce 2014, došlo ke zlepšení situace. V zařízení sociálních služeb ve Zborovicích</w:t>
      </w:r>
      <w:r w:rsidRPr="000A2AB3">
        <w:rPr>
          <w:rFonts w:cs="Arial"/>
          <w:szCs w:val="22"/>
        </w:rPr>
        <w:t xml:space="preserve">, kde byl zjištěn nízký koeficient pestrosti stravy, při sestavování jídelníčku došlo k úpravě nabídky pokrmů, pestrost se podstatným způsobem zvýšila, a např. v jídelním lístku u přesnídávek, svačinek a večeří jsou nabízené pokrmy doplněny o obrázky potravin, které jsou velmi přehledné a motivující k výběru. Zdravotnické zařízení, kde byly zjištěny problémy se sestavováním jídelníčků a výpočtem výživových hodnot, byl zakoupen nutričním terapeutkám program pro sestavování a hodnocení jídelníčků, což má za následek zlepšení úrovně nabídky stravy jak z hlediska pestrosti, tak i z hlediska výživových hodnot. </w:t>
      </w:r>
    </w:p>
    <w:p w:rsidR="00C62930" w:rsidRPr="000A2AB3" w:rsidRDefault="00C62930" w:rsidP="00A31E17">
      <w:pPr>
        <w:rPr>
          <w:rFonts w:cs="Arial"/>
          <w:szCs w:val="22"/>
        </w:rPr>
      </w:pPr>
    </w:p>
    <w:p w:rsidR="00C51E6A" w:rsidRPr="000A2AB3" w:rsidRDefault="00C51E6A" w:rsidP="0030220B">
      <w:pPr>
        <w:rPr>
          <w:rFonts w:cs="Arial"/>
          <w:szCs w:val="22"/>
        </w:rPr>
      </w:pPr>
    </w:p>
    <w:p w:rsidR="00414413" w:rsidRPr="000A2AB3" w:rsidRDefault="00414413" w:rsidP="0030220B">
      <w:pPr>
        <w:rPr>
          <w:rFonts w:cs="Arial"/>
          <w:b/>
          <w:szCs w:val="22"/>
        </w:rPr>
      </w:pPr>
      <w:r w:rsidRPr="000A2AB3">
        <w:rPr>
          <w:rFonts w:cs="Arial"/>
          <w:b/>
          <w:szCs w:val="22"/>
        </w:rPr>
        <w:t>Závěry:</w:t>
      </w:r>
    </w:p>
    <w:p w:rsidR="004D3E6E" w:rsidRPr="000A2AB3" w:rsidRDefault="004D3E6E" w:rsidP="004D3E6E">
      <w:pPr>
        <w:rPr>
          <w:rFonts w:cs="Arial"/>
          <w:szCs w:val="22"/>
        </w:rPr>
      </w:pPr>
      <w:r w:rsidRPr="000A2AB3">
        <w:rPr>
          <w:rFonts w:cs="Arial"/>
          <w:szCs w:val="22"/>
        </w:rPr>
        <w:t>Na základě výsledků monitoringu týkajících se pestrosti stravy poskytované v zařízeních sociálních služeb a ve zdravotnických zařízeních lze vyvodit  objektivní závěr</w:t>
      </w:r>
      <w:r w:rsidR="007F3192">
        <w:rPr>
          <w:rFonts w:cs="Arial"/>
          <w:szCs w:val="22"/>
        </w:rPr>
        <w:t xml:space="preserve"> k situaci v jednotlivých krajích</w:t>
      </w:r>
      <w:r w:rsidRPr="000A2AB3">
        <w:rPr>
          <w:rFonts w:cs="Arial"/>
          <w:szCs w:val="22"/>
        </w:rPr>
        <w:t xml:space="preserve">. Situace se v jednotlivých krajích liší, a odlišná je situace i v jednotlivých zařízeních. </w:t>
      </w:r>
    </w:p>
    <w:p w:rsidR="00B42019" w:rsidRPr="000A2AB3" w:rsidRDefault="00B42019" w:rsidP="004D3E6E">
      <w:pPr>
        <w:rPr>
          <w:rFonts w:cs="Arial"/>
          <w:szCs w:val="22"/>
        </w:rPr>
      </w:pPr>
    </w:p>
    <w:p w:rsidR="008E1F0A" w:rsidRPr="000A2AB3" w:rsidRDefault="00346113" w:rsidP="008E1F0A">
      <w:pPr>
        <w:rPr>
          <w:rFonts w:cs="Arial"/>
          <w:bCs/>
          <w:szCs w:val="22"/>
        </w:rPr>
      </w:pPr>
      <w:r w:rsidRPr="000A2AB3">
        <w:rPr>
          <w:rFonts w:cs="Arial"/>
          <w:szCs w:val="22"/>
        </w:rPr>
        <w:t>V</w:t>
      </w:r>
      <w:r w:rsidR="005511EE" w:rsidRPr="000A2AB3">
        <w:rPr>
          <w:rFonts w:cs="Arial"/>
          <w:szCs w:val="22"/>
        </w:rPr>
        <w:t>ybrané živiny – sůl, vláknina, bílkoviny, tuky a sacharidy a energetická hodnoty byly stanoveny laboratorní analýzou</w:t>
      </w:r>
      <w:r w:rsidRPr="000A2AB3">
        <w:rPr>
          <w:rFonts w:cs="Arial"/>
          <w:szCs w:val="22"/>
        </w:rPr>
        <w:t> </w:t>
      </w:r>
      <w:r w:rsidR="005511EE" w:rsidRPr="000A2AB3">
        <w:rPr>
          <w:rFonts w:cs="Arial"/>
          <w:szCs w:val="22"/>
        </w:rPr>
        <w:t xml:space="preserve">v </w:t>
      </w:r>
      <w:r w:rsidRPr="000A2AB3">
        <w:rPr>
          <w:rFonts w:cs="Arial"/>
          <w:szCs w:val="22"/>
        </w:rPr>
        <w:t>akreditovaných laboratořích</w:t>
      </w:r>
      <w:r w:rsidR="005511EE" w:rsidRPr="000A2AB3">
        <w:rPr>
          <w:rFonts w:cs="Arial"/>
          <w:szCs w:val="22"/>
        </w:rPr>
        <w:t xml:space="preserve">. </w:t>
      </w:r>
      <w:r w:rsidRPr="000A2AB3">
        <w:rPr>
          <w:rFonts w:cs="Arial"/>
          <w:szCs w:val="22"/>
        </w:rPr>
        <w:t>K porovnání zjištěných laboratorních hodnot byly použity refer</w:t>
      </w:r>
      <w:r w:rsidR="008E1F0A" w:rsidRPr="000A2AB3">
        <w:rPr>
          <w:rFonts w:cs="Arial"/>
          <w:szCs w:val="22"/>
        </w:rPr>
        <w:t>e</w:t>
      </w:r>
      <w:r w:rsidRPr="000A2AB3">
        <w:rPr>
          <w:rFonts w:cs="Arial"/>
          <w:szCs w:val="22"/>
        </w:rPr>
        <w:t>nční d</w:t>
      </w:r>
      <w:r w:rsidR="008E1F0A" w:rsidRPr="000A2AB3">
        <w:rPr>
          <w:rFonts w:cs="Arial"/>
          <w:szCs w:val="22"/>
        </w:rPr>
        <w:t>á</w:t>
      </w:r>
      <w:r w:rsidRPr="000A2AB3">
        <w:rPr>
          <w:rFonts w:cs="Arial"/>
          <w:szCs w:val="22"/>
        </w:rPr>
        <w:t>vky uve</w:t>
      </w:r>
      <w:r w:rsidR="008E1F0A" w:rsidRPr="000A2AB3">
        <w:rPr>
          <w:rFonts w:cs="Arial"/>
          <w:szCs w:val="22"/>
        </w:rPr>
        <w:t xml:space="preserve">dené v publikaci vydané Společností pro výživu - </w:t>
      </w:r>
      <w:r w:rsidR="008E1F0A" w:rsidRPr="000A2AB3">
        <w:rPr>
          <w:rFonts w:cs="Arial"/>
          <w:bCs/>
          <w:szCs w:val="22"/>
        </w:rPr>
        <w:t xml:space="preserve">Referenční hodnoty pro příjem živin, 1. vydání, 2011(DACH), pro snazší vyhodnocení a porovnání byly použity průměrné hodnoty referenčních dávek pro populační skupinu kojících žen a seniorů. Je nutné zdůraznit, že se ve zprávě uvedené porovnání je pouze orientační a zjednodušené, kdy cílem je ukázat situaci z pohledu stavu vybraných výživových hodnot v monitorovaných zařízeních sociálních služeb a zdravotnických zařízeních, kde byla monitorována pouze porodnická oddělení.  </w:t>
      </w:r>
    </w:p>
    <w:p w:rsidR="000A2AB3" w:rsidRPr="000A2AB3" w:rsidRDefault="000A2AB3" w:rsidP="008E1F0A">
      <w:pPr>
        <w:rPr>
          <w:rFonts w:cs="Arial"/>
          <w:bCs/>
          <w:szCs w:val="22"/>
        </w:rPr>
      </w:pPr>
    </w:p>
    <w:p w:rsidR="002D3B99" w:rsidRPr="000A2AB3" w:rsidRDefault="008E1F0A" w:rsidP="008E1F0A">
      <w:pPr>
        <w:rPr>
          <w:rFonts w:cs="Arial"/>
          <w:bCs/>
          <w:szCs w:val="22"/>
        </w:rPr>
      </w:pPr>
      <w:r w:rsidRPr="000A2AB3">
        <w:rPr>
          <w:rFonts w:cs="Arial"/>
          <w:bCs/>
          <w:szCs w:val="22"/>
        </w:rPr>
        <w:t xml:space="preserve">Ze zjištěných výsledků se potvrdila stále zdůrazňovaná situace v nadbytku </w:t>
      </w:r>
      <w:r w:rsidR="006B6D78" w:rsidRPr="000A2AB3">
        <w:rPr>
          <w:rFonts w:cs="Arial"/>
          <w:bCs/>
          <w:szCs w:val="22"/>
        </w:rPr>
        <w:t>přívodu soli. Doporučená denní dávka soli 6 g/den byla v průměru překročena 2 – 3x</w:t>
      </w:r>
      <w:r w:rsidR="00413F62" w:rsidRPr="000A2AB3">
        <w:rPr>
          <w:rFonts w:cs="Arial"/>
          <w:bCs/>
          <w:szCs w:val="22"/>
        </w:rPr>
        <w:t xml:space="preserve">. </w:t>
      </w:r>
      <w:r w:rsidR="006B6D78" w:rsidRPr="000A2AB3">
        <w:rPr>
          <w:rFonts w:cs="Arial"/>
          <w:bCs/>
          <w:szCs w:val="22"/>
        </w:rPr>
        <w:t xml:space="preserve">V naprosté většině je zvýšený obsah soli v jednotlivých dnech přibližně na stejné úrovni, </w:t>
      </w:r>
      <w:r w:rsidR="00413F62" w:rsidRPr="000A2AB3">
        <w:rPr>
          <w:rFonts w:cs="Arial"/>
          <w:bCs/>
          <w:szCs w:val="22"/>
        </w:rPr>
        <w:t xml:space="preserve">jen ojediněle docházelo k výkyvům denního přívodu soli (v průměru 5, někdy ale až 8 – 10 g soli, v jednotlivých dnech). V případě zdravotnických zařízení, a zejména porodnických odděleních, je </w:t>
      </w:r>
      <w:r w:rsidR="007F3192">
        <w:rPr>
          <w:rFonts w:cs="Arial"/>
          <w:bCs/>
          <w:szCs w:val="22"/>
        </w:rPr>
        <w:t xml:space="preserve">mírně </w:t>
      </w:r>
      <w:r w:rsidR="00413F62" w:rsidRPr="000A2AB3">
        <w:rPr>
          <w:rFonts w:cs="Arial"/>
          <w:bCs/>
          <w:szCs w:val="22"/>
        </w:rPr>
        <w:t>zvýšený přívod soli do určité míry akceptovatelný, ovšem je nutná další diskuse na odborné úrovni, do jaké výše speciálně v případě porodnických oddělení zvýšený přívod soli akceptovat. Problematičtější je vysoký přívod soli u seniorské populace</w:t>
      </w:r>
      <w:r w:rsidR="003A5F3A" w:rsidRPr="000A2AB3">
        <w:rPr>
          <w:rFonts w:cs="Arial"/>
          <w:bCs/>
          <w:szCs w:val="22"/>
        </w:rPr>
        <w:t>, kdy je snížení obsahu soli v celodenní stravě nadále nutné věnovat pozornost.</w:t>
      </w:r>
    </w:p>
    <w:p w:rsidR="002D3B99" w:rsidRPr="000A2AB3" w:rsidRDefault="002D3B99" w:rsidP="008E1F0A">
      <w:pPr>
        <w:rPr>
          <w:rFonts w:cs="Arial"/>
          <w:bCs/>
          <w:szCs w:val="22"/>
        </w:rPr>
      </w:pPr>
    </w:p>
    <w:p w:rsidR="002D3B99" w:rsidRPr="000A2AB3" w:rsidRDefault="006B6D78" w:rsidP="008E1F0A">
      <w:pPr>
        <w:rPr>
          <w:rFonts w:cs="Arial"/>
          <w:bCs/>
          <w:szCs w:val="22"/>
        </w:rPr>
      </w:pPr>
      <w:r w:rsidRPr="000A2AB3">
        <w:rPr>
          <w:rFonts w:cs="Arial"/>
          <w:bCs/>
          <w:szCs w:val="22"/>
        </w:rPr>
        <w:t xml:space="preserve">Graf č. </w:t>
      </w:r>
      <w:r w:rsidR="00413F62" w:rsidRPr="000A2AB3">
        <w:rPr>
          <w:rFonts w:cs="Arial"/>
          <w:bCs/>
          <w:szCs w:val="22"/>
        </w:rPr>
        <w:t>7</w:t>
      </w:r>
      <w:r w:rsidRPr="000A2AB3">
        <w:rPr>
          <w:rFonts w:cs="Arial"/>
          <w:bCs/>
          <w:szCs w:val="22"/>
        </w:rPr>
        <w:t xml:space="preserve">: </w:t>
      </w:r>
      <w:r w:rsidR="00413F62" w:rsidRPr="000A2AB3">
        <w:rPr>
          <w:rFonts w:cs="Arial"/>
          <w:bCs/>
          <w:szCs w:val="22"/>
        </w:rPr>
        <w:t>Obsah soli (z</w:t>
      </w:r>
      <w:r w:rsidR="002D3B99" w:rsidRPr="000A2AB3">
        <w:rPr>
          <w:rFonts w:cs="Arial"/>
          <w:bCs/>
          <w:szCs w:val="22"/>
        </w:rPr>
        <w:t>dravotnická zařízení</w:t>
      </w:r>
      <w:r w:rsidR="00413F62" w:rsidRPr="000A2AB3">
        <w:rPr>
          <w:rFonts w:cs="Arial"/>
          <w:bCs/>
          <w:szCs w:val="22"/>
        </w:rPr>
        <w:t>)</w:t>
      </w:r>
    </w:p>
    <w:p w:rsidR="002D3B99" w:rsidRPr="000A2AB3" w:rsidRDefault="00413F62" w:rsidP="006B6D78">
      <w:pPr>
        <w:rPr>
          <w:rFonts w:cs="Arial"/>
          <w:b/>
          <w:bCs/>
        </w:rPr>
      </w:pPr>
      <w:r w:rsidRPr="000A2AB3">
        <w:rPr>
          <w:noProof/>
        </w:rPr>
        <w:drawing>
          <wp:inline distT="0" distB="0" distL="0" distR="0" wp14:anchorId="7752A8E0" wp14:editId="39257F21">
            <wp:extent cx="5834462" cy="2489528"/>
            <wp:effectExtent l="0" t="0" r="13970" b="2540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D3B99" w:rsidRPr="000A2AB3" w:rsidRDefault="002D3B99" w:rsidP="008E1F0A">
      <w:pPr>
        <w:rPr>
          <w:rFonts w:cs="Arial"/>
          <w:szCs w:val="22"/>
        </w:rPr>
      </w:pPr>
    </w:p>
    <w:p w:rsidR="000A2AB3" w:rsidRPr="000A2AB3" w:rsidRDefault="000A2AB3" w:rsidP="008E1F0A">
      <w:pPr>
        <w:rPr>
          <w:rFonts w:cs="Arial"/>
          <w:szCs w:val="22"/>
        </w:rPr>
      </w:pPr>
    </w:p>
    <w:p w:rsidR="000A2AB3" w:rsidRDefault="000A2AB3" w:rsidP="008E1F0A">
      <w:pPr>
        <w:rPr>
          <w:rFonts w:cs="Arial"/>
          <w:szCs w:val="22"/>
        </w:rPr>
      </w:pPr>
    </w:p>
    <w:p w:rsidR="00022B26" w:rsidRDefault="00022B26" w:rsidP="008E1F0A">
      <w:pPr>
        <w:rPr>
          <w:rFonts w:cs="Arial"/>
          <w:szCs w:val="22"/>
        </w:rPr>
      </w:pPr>
    </w:p>
    <w:p w:rsidR="002D3B99" w:rsidRPr="000A2AB3" w:rsidRDefault="002D3B99" w:rsidP="008E1F0A">
      <w:pPr>
        <w:rPr>
          <w:rFonts w:cs="Arial"/>
          <w:szCs w:val="22"/>
        </w:rPr>
      </w:pPr>
      <w:r w:rsidRPr="000A2AB3">
        <w:rPr>
          <w:rFonts w:cs="Arial"/>
          <w:szCs w:val="22"/>
        </w:rPr>
        <w:t>Graf č.</w:t>
      </w:r>
      <w:r w:rsidR="00413F62" w:rsidRPr="000A2AB3">
        <w:rPr>
          <w:rFonts w:cs="Arial"/>
          <w:szCs w:val="22"/>
        </w:rPr>
        <w:t xml:space="preserve"> 8: Obsah soli (s</w:t>
      </w:r>
      <w:r w:rsidRPr="000A2AB3">
        <w:rPr>
          <w:rFonts w:cs="Arial"/>
          <w:szCs w:val="22"/>
        </w:rPr>
        <w:t>ociální zařízení</w:t>
      </w:r>
      <w:r w:rsidR="00413F62" w:rsidRPr="000A2AB3">
        <w:rPr>
          <w:rFonts w:cs="Arial"/>
          <w:szCs w:val="22"/>
        </w:rPr>
        <w:t>)</w:t>
      </w:r>
    </w:p>
    <w:p w:rsidR="002D3B99" w:rsidRPr="000A2AB3" w:rsidRDefault="002D3B99" w:rsidP="008E1F0A">
      <w:pPr>
        <w:rPr>
          <w:rFonts w:cs="Arial"/>
          <w:szCs w:val="22"/>
        </w:rPr>
      </w:pPr>
      <w:r w:rsidRPr="000A2AB3">
        <w:rPr>
          <w:noProof/>
        </w:rPr>
        <w:drawing>
          <wp:inline distT="0" distB="0" distL="0" distR="0" wp14:anchorId="6E8AE216" wp14:editId="611062AC">
            <wp:extent cx="5881657" cy="2076573"/>
            <wp:effectExtent l="0" t="0" r="24130" b="1905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5F3A" w:rsidRPr="000A2AB3" w:rsidRDefault="003A5F3A" w:rsidP="003A5F3A">
      <w:pPr>
        <w:rPr>
          <w:rFonts w:cs="Arial"/>
          <w:szCs w:val="22"/>
        </w:rPr>
      </w:pPr>
    </w:p>
    <w:p w:rsidR="003A5F3A" w:rsidRPr="000A2AB3" w:rsidRDefault="003A5F3A" w:rsidP="003A5F3A">
      <w:pPr>
        <w:rPr>
          <w:rFonts w:cs="Arial"/>
          <w:szCs w:val="22"/>
        </w:rPr>
      </w:pPr>
      <w:r w:rsidRPr="000A2AB3">
        <w:rPr>
          <w:rFonts w:cs="Arial"/>
          <w:szCs w:val="22"/>
        </w:rPr>
        <w:t xml:space="preserve">Další analyzovanou živinou byla vláknina, jejíž doporučený přívod je stanoven na 30 g/den. V tomto případě je nutné obsah vlákniny ve stravě hodnocen jako nedostatečný, což opět odpovídá situaci v populaci celkově, kdy je soustavně upozorňováno na nutnost zvýšení přívodu vlákniny. Velmi problematická je situace v zařízeních sociálních služeb, kdy doporučený přívod vlákniny v sedmidenním vzorku stravy byl dodržen pouze v jediném případě. Pokud jde o hodnocení přívodu vlákniny v jednotlivých sledovaných dnech, byly v řadě případů identifikovány i poměrně značné výkyvy přívodu vlákniny v jednotlivých dnech, kdy v jednom dnu byl obsah vlákniny překročen (např. 34,5 g, 38,9 g, </w:t>
      </w:r>
      <w:r w:rsidR="00846B80" w:rsidRPr="000A2AB3">
        <w:rPr>
          <w:rFonts w:cs="Arial"/>
          <w:szCs w:val="22"/>
        </w:rPr>
        <w:t>50,0 g, 42,0 g), přičemž v dalších dnech byl obsah vlákniny podstatně nižší (např. 8 g, 9 g, 14 g, 17g).</w:t>
      </w:r>
    </w:p>
    <w:p w:rsidR="002D3B99" w:rsidRPr="000A2AB3" w:rsidRDefault="002D3B99" w:rsidP="008E1F0A">
      <w:pPr>
        <w:rPr>
          <w:rFonts w:cs="Arial"/>
          <w:szCs w:val="22"/>
        </w:rPr>
      </w:pPr>
    </w:p>
    <w:p w:rsidR="002D3B99" w:rsidRPr="000A2AB3" w:rsidRDefault="006B6D78" w:rsidP="008E1F0A">
      <w:pPr>
        <w:rPr>
          <w:rFonts w:cs="Arial"/>
          <w:szCs w:val="22"/>
        </w:rPr>
      </w:pPr>
      <w:r w:rsidRPr="000A2AB3">
        <w:rPr>
          <w:rFonts w:cs="Arial"/>
          <w:szCs w:val="22"/>
        </w:rPr>
        <w:t xml:space="preserve">Graf č. </w:t>
      </w:r>
      <w:r w:rsidR="003A5F3A" w:rsidRPr="000A2AB3">
        <w:rPr>
          <w:rFonts w:cs="Arial"/>
          <w:szCs w:val="22"/>
        </w:rPr>
        <w:t>9</w:t>
      </w:r>
      <w:r w:rsidRPr="000A2AB3">
        <w:rPr>
          <w:rFonts w:cs="Arial"/>
          <w:szCs w:val="22"/>
        </w:rPr>
        <w:t xml:space="preserve">: </w:t>
      </w:r>
      <w:r w:rsidR="003A5F3A" w:rsidRPr="000A2AB3">
        <w:rPr>
          <w:rFonts w:cs="Arial"/>
          <w:szCs w:val="22"/>
        </w:rPr>
        <w:t>Obsah vlákniny (z</w:t>
      </w:r>
      <w:r w:rsidR="002D3B99" w:rsidRPr="000A2AB3">
        <w:rPr>
          <w:rFonts w:cs="Arial"/>
          <w:szCs w:val="22"/>
        </w:rPr>
        <w:t>dravotnická zařízení</w:t>
      </w:r>
      <w:r w:rsidR="003A5F3A" w:rsidRPr="000A2AB3">
        <w:rPr>
          <w:rFonts w:cs="Arial"/>
          <w:szCs w:val="22"/>
        </w:rPr>
        <w:t>)</w:t>
      </w:r>
    </w:p>
    <w:p w:rsidR="002D3B99" w:rsidRPr="000A2AB3" w:rsidRDefault="002D3B99" w:rsidP="008E1F0A">
      <w:pPr>
        <w:rPr>
          <w:rFonts w:cs="Arial"/>
          <w:szCs w:val="22"/>
        </w:rPr>
      </w:pPr>
      <w:r w:rsidRPr="000A2AB3">
        <w:rPr>
          <w:noProof/>
        </w:rPr>
        <w:drawing>
          <wp:inline distT="0" distB="0" distL="0" distR="0" wp14:anchorId="1791FBF3" wp14:editId="567B47F5">
            <wp:extent cx="5834462" cy="2129668"/>
            <wp:effectExtent l="0" t="0" r="13970" b="2349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D3B99" w:rsidRPr="000A2AB3" w:rsidRDefault="002D3B99" w:rsidP="008E1F0A">
      <w:pPr>
        <w:rPr>
          <w:rFonts w:cs="Arial"/>
          <w:szCs w:val="22"/>
        </w:rPr>
      </w:pPr>
    </w:p>
    <w:p w:rsidR="002D3B99" w:rsidRPr="000A2AB3" w:rsidRDefault="006B6D78" w:rsidP="008E1F0A">
      <w:pPr>
        <w:rPr>
          <w:rFonts w:cs="Arial"/>
          <w:szCs w:val="22"/>
        </w:rPr>
      </w:pPr>
      <w:r w:rsidRPr="000A2AB3">
        <w:rPr>
          <w:rFonts w:cs="Arial"/>
          <w:szCs w:val="22"/>
        </w:rPr>
        <w:t xml:space="preserve">Graf č. </w:t>
      </w:r>
      <w:r w:rsidR="003A5F3A" w:rsidRPr="000A2AB3">
        <w:rPr>
          <w:rFonts w:cs="Arial"/>
          <w:szCs w:val="22"/>
        </w:rPr>
        <w:t>10</w:t>
      </w:r>
      <w:r w:rsidRPr="000A2AB3">
        <w:rPr>
          <w:rFonts w:cs="Arial"/>
          <w:szCs w:val="22"/>
        </w:rPr>
        <w:t>:</w:t>
      </w:r>
      <w:r w:rsidR="003A5F3A" w:rsidRPr="000A2AB3">
        <w:rPr>
          <w:rFonts w:cs="Arial"/>
          <w:szCs w:val="22"/>
        </w:rPr>
        <w:t xml:space="preserve"> Obsah vlákniny (sociální zařízení)</w:t>
      </w:r>
      <w:r w:rsidRPr="000A2AB3">
        <w:rPr>
          <w:rFonts w:cs="Arial"/>
          <w:szCs w:val="22"/>
        </w:rPr>
        <w:t xml:space="preserve"> </w:t>
      </w:r>
    </w:p>
    <w:p w:rsidR="006B6D78" w:rsidRPr="000A2AB3" w:rsidRDefault="002D3B99" w:rsidP="008E1F0A">
      <w:pPr>
        <w:rPr>
          <w:rFonts w:cs="Arial"/>
          <w:szCs w:val="22"/>
        </w:rPr>
      </w:pPr>
      <w:r w:rsidRPr="000A2AB3">
        <w:rPr>
          <w:noProof/>
        </w:rPr>
        <w:drawing>
          <wp:inline distT="0" distB="0" distL="0" distR="0" wp14:anchorId="52847910" wp14:editId="3F254CB4">
            <wp:extent cx="5834462" cy="2058875"/>
            <wp:effectExtent l="0" t="0" r="13970" b="1778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511EE" w:rsidRPr="000A2AB3" w:rsidRDefault="005511EE" w:rsidP="005511EE">
      <w:pPr>
        <w:rPr>
          <w:rFonts w:cs="Arial"/>
          <w:szCs w:val="22"/>
        </w:rPr>
      </w:pPr>
      <w:r w:rsidRPr="000A2AB3">
        <w:rPr>
          <w:rFonts w:cs="Arial"/>
          <w:szCs w:val="22"/>
        </w:rPr>
        <w:t xml:space="preserve">V případě zdravotních zařízení, porodnických oddělení, je nutné věnovat pozornost energetické hodnotě stravy v návaznosti na obsah bílkovin, tuků a sacharidů (poměr v trojkombinaci), kdy se doporučuje snížit obsah bílkovin, a navýšit obsah tuků a sacharidů (ve formě komplexních cukrů). </w:t>
      </w:r>
    </w:p>
    <w:p w:rsidR="00340AFC" w:rsidRPr="000A2AB3" w:rsidRDefault="005511EE" w:rsidP="005511EE">
      <w:pPr>
        <w:rPr>
          <w:rFonts w:cs="Arial"/>
          <w:szCs w:val="22"/>
        </w:rPr>
      </w:pPr>
      <w:r w:rsidRPr="000A2AB3">
        <w:rPr>
          <w:rFonts w:cs="Arial"/>
          <w:szCs w:val="22"/>
        </w:rPr>
        <w:t>Energetická hodnota stravy v zařízeních sociálních služeb je vcelku uspokojivá, je však vhodné upravit poměr trojkombinace bílkoviny / tuky /sacharidy.</w:t>
      </w:r>
    </w:p>
    <w:p w:rsidR="00FA598E" w:rsidRPr="000A2AB3" w:rsidRDefault="00FA598E" w:rsidP="00FA598E">
      <w:pPr>
        <w:rPr>
          <w:rFonts w:cs="Arial"/>
          <w:szCs w:val="22"/>
        </w:rPr>
      </w:pPr>
      <w:r w:rsidRPr="000A2AB3">
        <w:rPr>
          <w:rFonts w:cs="Arial"/>
          <w:szCs w:val="22"/>
        </w:rPr>
        <w:t xml:space="preserve">V rámci realizovaného monitoringu </w:t>
      </w:r>
      <w:r w:rsidR="00031A9B" w:rsidRPr="000A2AB3">
        <w:rPr>
          <w:rFonts w:cs="Arial"/>
          <w:szCs w:val="22"/>
        </w:rPr>
        <w:t xml:space="preserve">byly zjištěny </w:t>
      </w:r>
      <w:r w:rsidRPr="000A2AB3">
        <w:rPr>
          <w:rFonts w:cs="Arial"/>
          <w:szCs w:val="22"/>
        </w:rPr>
        <w:t xml:space="preserve">poměrně zásadní problémy, které souvisí se sestavováním a hodnocením jídelníčků. V převážné většině </w:t>
      </w:r>
      <w:r w:rsidR="00031A9B" w:rsidRPr="000A2AB3">
        <w:rPr>
          <w:rFonts w:cs="Arial"/>
          <w:szCs w:val="22"/>
        </w:rPr>
        <w:t>osoby tvořící jídelníčky používají k výpočtům zakoupené nutriční počítačové programy. Výsledky výpočtů nutričních hodnot stravy, vycházející z nutričních hodnot surovin, vypočítané počítačovými programy, se mnohdy diametrálně liší od výsledků analýz provedených v laboratoři.</w:t>
      </w:r>
      <w:r w:rsidRPr="000A2AB3">
        <w:rPr>
          <w:rFonts w:cs="Arial"/>
          <w:szCs w:val="22"/>
        </w:rPr>
        <w:t xml:space="preserve"> V některých zařízeních počítačové programy nejsou vůbec k dispozici, </w:t>
      </w:r>
      <w:r w:rsidR="00031A9B" w:rsidRPr="000A2AB3">
        <w:rPr>
          <w:rFonts w:cs="Arial"/>
          <w:szCs w:val="22"/>
        </w:rPr>
        <w:t xml:space="preserve">nebo jsou pouze pro potřeby normování stravy. </w:t>
      </w:r>
    </w:p>
    <w:p w:rsidR="00FA598E" w:rsidRPr="00E84A6E" w:rsidRDefault="00031A9B" w:rsidP="00E84A6E">
      <w:pPr>
        <w:rPr>
          <w:rFonts w:cs="Arial"/>
          <w:szCs w:val="22"/>
        </w:rPr>
      </w:pPr>
      <w:r w:rsidRPr="000A2AB3">
        <w:rPr>
          <w:rFonts w:cs="Arial"/>
          <w:szCs w:val="22"/>
        </w:rPr>
        <w:t xml:space="preserve">Pro sledování </w:t>
      </w:r>
      <w:r w:rsidR="00FA598E" w:rsidRPr="000A2AB3">
        <w:rPr>
          <w:rFonts w:cs="Arial"/>
          <w:szCs w:val="22"/>
        </w:rPr>
        <w:t xml:space="preserve">obsahů živin je nutné v následující etapě stanovit </w:t>
      </w:r>
      <w:r w:rsidRPr="000A2AB3">
        <w:rPr>
          <w:rFonts w:cs="Arial"/>
          <w:szCs w:val="22"/>
        </w:rPr>
        <w:t xml:space="preserve">hodnotící limity pro jednoznačné vyhodnocení. </w:t>
      </w:r>
      <w:r w:rsidR="00FA598E" w:rsidRPr="000A2AB3">
        <w:rPr>
          <w:rFonts w:cs="Arial"/>
          <w:szCs w:val="22"/>
        </w:rPr>
        <w:t xml:space="preserve">Objevuje se názor </w:t>
      </w:r>
      <w:r w:rsidR="007F3192">
        <w:rPr>
          <w:rFonts w:cs="Arial"/>
          <w:szCs w:val="22"/>
        </w:rPr>
        <w:t xml:space="preserve">na </w:t>
      </w:r>
      <w:r w:rsidR="00FA598E" w:rsidRPr="000A2AB3">
        <w:rPr>
          <w:rFonts w:cs="Arial"/>
          <w:szCs w:val="22"/>
        </w:rPr>
        <w:t xml:space="preserve">stanovení závazných limitů pro hodnocení parametrů ústavního stravování – energetická hodnota a obsah živin u jednotlivých diet. V současné době jsou k dispozici pouze doporučení, která jsou sice založena na vědeckých stanoviscích a jsou zpracována odborníky ve zdravotnictví a výživě, ale stále se jedná                       </w:t>
      </w:r>
      <w:r w:rsidR="00FA598E" w:rsidRPr="00E84A6E">
        <w:rPr>
          <w:rFonts w:cs="Arial"/>
          <w:szCs w:val="22"/>
        </w:rPr>
        <w:t>o právně nezávazné dokumenty, které navíc podléhají různé interpretaci.</w:t>
      </w:r>
    </w:p>
    <w:p w:rsidR="00E84A6E" w:rsidRPr="00E84A6E" w:rsidRDefault="00E84A6E" w:rsidP="00E84A6E">
      <w:pPr>
        <w:tabs>
          <w:tab w:val="left" w:pos="2370"/>
          <w:tab w:val="center" w:pos="4535"/>
        </w:tabs>
        <w:rPr>
          <w:rFonts w:cs="Arial"/>
          <w:szCs w:val="22"/>
        </w:rPr>
      </w:pPr>
    </w:p>
    <w:p w:rsidR="00A84BD1" w:rsidRDefault="00A84BD1" w:rsidP="00E84A6E">
      <w:pPr>
        <w:rPr>
          <w:rFonts w:cs="Arial"/>
          <w:szCs w:val="22"/>
        </w:rPr>
      </w:pPr>
      <w:r w:rsidRPr="00E84A6E">
        <w:rPr>
          <w:rFonts w:cs="Arial"/>
          <w:szCs w:val="22"/>
        </w:rPr>
        <w:t>Je nutné upozornit na skutečnost, že pro zjednodušení byly použity pouze průměrné hodnoty stanované laboratorně, kdy nebyla započtena nejistota, a i referenční dávky jsou uváděny jako průměrná hodnoty, a nikoliv rozmezí. Výše uvedená zjištění jsou založena na zjednodušeném modelu vyhodnocení a pouze na souboru 280 vzorků celodenní stravy, kdy k dalšímu posouzení situace bude nutné odebrat další větší soubor vzorků celodenní stravy z dalších zařízení</w:t>
      </w:r>
      <w:r w:rsidR="007F3192">
        <w:rPr>
          <w:rFonts w:cs="Arial"/>
          <w:szCs w:val="22"/>
        </w:rPr>
        <w:t xml:space="preserve">. </w:t>
      </w:r>
      <w:r w:rsidRPr="000A2AB3">
        <w:rPr>
          <w:rFonts w:cs="Arial"/>
          <w:szCs w:val="22"/>
        </w:rPr>
        <w:t xml:space="preserve"> </w:t>
      </w:r>
    </w:p>
    <w:p w:rsidR="00E84A6E" w:rsidRPr="00E84A6E" w:rsidRDefault="00E84A6E" w:rsidP="00E84A6E">
      <w:pPr>
        <w:rPr>
          <w:rFonts w:cs="Arial"/>
          <w:szCs w:val="22"/>
        </w:rPr>
      </w:pPr>
    </w:p>
    <w:p w:rsidR="00E84A6E" w:rsidRPr="000A2AB3" w:rsidRDefault="00E84A6E" w:rsidP="00E84A6E">
      <w:pPr>
        <w:tabs>
          <w:tab w:val="left" w:pos="7768"/>
        </w:tabs>
        <w:rPr>
          <w:rFonts w:cs="Arial"/>
          <w:szCs w:val="22"/>
        </w:rPr>
      </w:pPr>
      <w:r w:rsidRPr="000A2AB3">
        <w:rPr>
          <w:rFonts w:cs="Arial"/>
          <w:szCs w:val="22"/>
        </w:rPr>
        <w:t xml:space="preserve">Z provedeného monitoringu vyplývá, že je snaha respektovat zásady pestrosti. Na druhé straně však jsou však případy, kdy se této otázce nevěnuje dostatečná pozornost, např. v několika zařízeních poskytování v podstatě jednostranná strava s neustále se opakujícími pokrmy a potravinami na jídelníčku. Nízká pestrost je velmi často zdůvodňována ekonomickými možnosti jednotlivých zařízení. Hodnota ceny celodenní stravy na 1 klienta se odvíjí od ekonomických možností klientů, kteří si zde svůj pobyt v těchto zařízeních hradí. Tato zařízení tedy mají velmi omezené prostředky, tzv. </w:t>
      </w:r>
      <w:r w:rsidRPr="000A2AB3">
        <w:rPr>
          <w:rFonts w:cs="Arial"/>
          <w:i/>
          <w:szCs w:val="22"/>
        </w:rPr>
        <w:t>„provařenost“</w:t>
      </w:r>
      <w:r w:rsidRPr="000A2AB3">
        <w:rPr>
          <w:rFonts w:cs="Arial"/>
          <w:szCs w:val="22"/>
        </w:rPr>
        <w:t xml:space="preserve"> se pohybuje pro informaci v hodnotách 75 – 85 Kč /den (u klientů s dg. Diabetes melitus 85 – 95 Kč/den). V zařízení, kde byla pestrost hodnocena jako vynikající, se jedná o zařízení soukromé, kde však úhrada za pobyt je vysoká, přesahují značně možnosti většiny seniorů. </w:t>
      </w:r>
    </w:p>
    <w:p w:rsidR="00A84BD1" w:rsidRPr="000A2AB3" w:rsidRDefault="00A84BD1" w:rsidP="00022B26">
      <w:pPr>
        <w:rPr>
          <w:rFonts w:cs="Arial"/>
          <w:szCs w:val="22"/>
        </w:rPr>
      </w:pPr>
      <w:r w:rsidRPr="000A2AB3">
        <w:rPr>
          <w:rFonts w:cs="Arial"/>
          <w:noProof/>
          <w:sz w:val="24"/>
        </w:rPr>
        <w:drawing>
          <wp:anchor distT="0" distB="0" distL="114300" distR="114300" simplePos="0" relativeHeight="251660288" behindDoc="0" locked="0" layoutInCell="1" allowOverlap="1" wp14:anchorId="5C2A2F8F" wp14:editId="596F631B">
            <wp:simplePos x="902335" y="902335"/>
            <wp:positionH relativeFrom="margin">
              <wp:align>left</wp:align>
            </wp:positionH>
            <wp:positionV relativeFrom="margin">
              <wp:align>top</wp:align>
            </wp:positionV>
            <wp:extent cx="2335530" cy="1845945"/>
            <wp:effectExtent l="0" t="0" r="7620" b="1905"/>
            <wp:wrapSquare wrapText="bothSides"/>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sp3.png"/>
                    <pic:cNvPicPr/>
                  </pic:nvPicPr>
                  <pic:blipFill>
                    <a:blip r:embed="rId27">
                      <a:extLst>
                        <a:ext uri="{28A0092B-C50C-407E-A947-70E740481C1C}">
                          <a14:useLocalDpi xmlns:a14="http://schemas.microsoft.com/office/drawing/2010/main" val="0"/>
                        </a:ext>
                      </a:extLst>
                    </a:blip>
                    <a:stretch>
                      <a:fillRect/>
                    </a:stretch>
                  </pic:blipFill>
                  <pic:spPr>
                    <a:xfrm>
                      <a:off x="0" y="0"/>
                      <a:ext cx="2335530" cy="1845945"/>
                    </a:xfrm>
                    <a:prstGeom prst="rect">
                      <a:avLst/>
                    </a:prstGeom>
                  </pic:spPr>
                </pic:pic>
              </a:graphicData>
            </a:graphic>
          </wp:anchor>
        </w:drawing>
      </w:r>
    </w:p>
    <w:p w:rsidR="00750486" w:rsidRPr="000A2AB3" w:rsidRDefault="005511EE" w:rsidP="00750486">
      <w:pPr>
        <w:rPr>
          <w:rFonts w:cs="Arial"/>
          <w:szCs w:val="22"/>
        </w:rPr>
      </w:pPr>
      <w:r w:rsidRPr="000A2AB3">
        <w:rPr>
          <w:rFonts w:cs="Arial"/>
          <w:szCs w:val="22"/>
        </w:rPr>
        <w:t xml:space="preserve">Na systému se podílí nejen personál stravovacího provozu, včetně nutričních terapeutů, ale i samotný zdravotnický personál. V rámci nutriční péče je </w:t>
      </w:r>
      <w:r w:rsidR="00750486" w:rsidRPr="000A2AB3">
        <w:rPr>
          <w:rFonts w:cs="Arial"/>
          <w:szCs w:val="22"/>
        </w:rPr>
        <w:t xml:space="preserve">evidentní </w:t>
      </w:r>
      <w:r w:rsidRPr="000A2AB3">
        <w:rPr>
          <w:rFonts w:cs="Arial"/>
          <w:szCs w:val="22"/>
        </w:rPr>
        <w:t xml:space="preserve">snaha zajistit nejen nutriční požadavky pacientů odrážející se v jejich zdravotním stavu, ale i atraktivní a chutnou stravu s využitím moderních potravin podpořenou nákupem regionálních potravin. </w:t>
      </w:r>
      <w:r w:rsidR="00750486" w:rsidRPr="000A2AB3">
        <w:rPr>
          <w:rFonts w:cs="Arial"/>
          <w:szCs w:val="22"/>
        </w:rPr>
        <w:t xml:space="preserve">Na druhé straně je nutno rovněž brát v úvahu požadavky klientů zejména v zařízení sociálních služeb, kteří často vyžadují své oblíbené pokrmy bez ohledu na pestrost nebo vyváženost stravy. Senioři jsou zvyklí na určité stravovací návyky z minulosti a nechtějí přijímat některé zdravější potraviny, vyžadují spíše stravu tradiční a klasickou českou kuchyni. Navíc jídelníčky reagují i na přání klientů (stravovací komise, kniha přání), strava pak není odmítána, a na přání klientů je brán ohled, jelikož tento faktor má velký vliv na celkovou spokojenost klienta se službami v zařízení. Jsou respektovány individuální potřeby klientů zejména ve formě podávané stravy (krájení, mletí apod.). Při tvorbě jídelníčku se také přihlíží k chuťovým požadavkům klientů a zohledňují se např. i tradice (Velikonoce, Vánoce, Masopust, posvícení). V řadě případů je zajišťován nákup potravin podle přání klientů, nebo mohou klienti nakupovat v přilehlých provozovnách (bufetech). Trendem v zařízeních sociálních služeb se čím dál více stává systém výběru jídel samotným klientem a v tomto případě pak nelze hodnotit pestrost. Pestrost se tak stává individuální záležitostí každého klienta.  </w:t>
      </w:r>
    </w:p>
    <w:p w:rsidR="00750486" w:rsidRPr="000A2AB3" w:rsidRDefault="00750486" w:rsidP="00750486">
      <w:pPr>
        <w:ind w:right="51"/>
        <w:rPr>
          <w:rFonts w:cs="Arial"/>
          <w:szCs w:val="22"/>
        </w:rPr>
      </w:pPr>
    </w:p>
    <w:p w:rsidR="00750486" w:rsidRPr="000A2AB3" w:rsidRDefault="00B42019" w:rsidP="00031A9B">
      <w:pPr>
        <w:tabs>
          <w:tab w:val="left" w:pos="7768"/>
        </w:tabs>
        <w:rPr>
          <w:rFonts w:cs="Arial"/>
          <w:szCs w:val="22"/>
        </w:rPr>
      </w:pPr>
      <w:r w:rsidRPr="000A2AB3">
        <w:rPr>
          <w:rFonts w:cs="Arial"/>
          <w:szCs w:val="22"/>
        </w:rPr>
        <w:t xml:space="preserve">K nejčastějším doporučením patří zařazení většího počtu vhodných mléčných výrobků, listové zeleniny, upřednostnění salátů z čerstvého ovoce a zeleniny před nabídkou kompotovaného ovoce a sterilované zeleniny. Nicméně zejména v případě zařízení sociálních služeb je nutné přihlížet k požadavkům klientů a k omezeným možnostem konzumace čerstvého ovoce a zeleniny z důvodů problémů s chrupem. Je žádoucí zvýšení nabídky celozrnného pečiva, a dále zařazování méně známých surovin, např. pohanky, jáhel, </w:t>
      </w:r>
      <w:r w:rsidR="000A2AB3" w:rsidRPr="000A2AB3">
        <w:rPr>
          <w:rFonts w:cs="Arial"/>
          <w:szCs w:val="22"/>
        </w:rPr>
        <w:t xml:space="preserve">nebo </w:t>
      </w:r>
      <w:r w:rsidRPr="000A2AB3">
        <w:rPr>
          <w:rFonts w:cs="Arial"/>
          <w:szCs w:val="22"/>
        </w:rPr>
        <w:t>ovesných vloček</w:t>
      </w:r>
      <w:r w:rsidR="00750486" w:rsidRPr="000A2AB3">
        <w:rPr>
          <w:rFonts w:cs="Arial"/>
          <w:szCs w:val="22"/>
        </w:rPr>
        <w:t>, a na druhé straně omezení podá</w:t>
      </w:r>
      <w:r w:rsidRPr="000A2AB3">
        <w:rPr>
          <w:rFonts w:cs="Arial"/>
          <w:szCs w:val="22"/>
        </w:rPr>
        <w:t>vání uzenin</w:t>
      </w:r>
      <w:r w:rsidR="000A2AB3" w:rsidRPr="000A2AB3">
        <w:rPr>
          <w:rFonts w:cs="Arial"/>
          <w:szCs w:val="22"/>
        </w:rPr>
        <w:t xml:space="preserve">. </w:t>
      </w:r>
      <w:r w:rsidRPr="000A2AB3">
        <w:rPr>
          <w:rFonts w:cs="Arial"/>
          <w:szCs w:val="22"/>
        </w:rPr>
        <w:t>Jedním z dalších doporučení je zvýšení nabídky pokrmů nebo výrobků z ryb.</w:t>
      </w:r>
      <w:r w:rsidR="00031A9B" w:rsidRPr="000A2AB3">
        <w:rPr>
          <w:rFonts w:cs="Arial"/>
          <w:szCs w:val="22"/>
        </w:rPr>
        <w:t xml:space="preserve"> </w:t>
      </w:r>
    </w:p>
    <w:p w:rsidR="000A2AB3" w:rsidRPr="000A2AB3" w:rsidRDefault="000A2AB3" w:rsidP="00031A9B">
      <w:pPr>
        <w:tabs>
          <w:tab w:val="left" w:pos="7768"/>
        </w:tabs>
        <w:rPr>
          <w:rFonts w:cs="Arial"/>
          <w:szCs w:val="22"/>
        </w:rPr>
      </w:pPr>
    </w:p>
    <w:p w:rsidR="000A2AB3" w:rsidRPr="000A2AB3" w:rsidRDefault="000A2AB3" w:rsidP="000A2AB3">
      <w:pPr>
        <w:rPr>
          <w:rFonts w:cs="Arial"/>
          <w:szCs w:val="22"/>
        </w:rPr>
      </w:pPr>
      <w:r w:rsidRPr="000A2AB3">
        <w:rPr>
          <w:rFonts w:cs="Arial"/>
          <w:szCs w:val="22"/>
        </w:rPr>
        <w:t>Obecně lze konstatovat, že úroveň pestrosti je vyšší v zařízeních sociálních služeb, než ve zdravotnických zařízeních. Nicméně zde je nutné také zohlednit skutečnost dlouhodobého nebo krátkodobého pobytu ve zdravotnickém zařízení, kdy v případě krátkodobých pobytů pestrosti není věnována až tak velká pozornost z pochopitelných důvodů, kdy se jídelníčky mohou opakovat již po třech týdnech. Např. strava na porodnickém oddělení není konzumována dlouhodobě, neboť pacientky jsou zde hospitalizovány při přirozeném porodu bez komplikací pouze po dobu tří dnů. V případě delšího doby hospitalizace je však nutné věnovat pozornost i pestrosti. V rámci monitoringu byl v případě jednoho zdravotnického zařízení konstatován zcela neuspokojivý stav, kdy byla hodnocena pestrost stravy připravované nejen pro porodnické oddělení, ale také pro ostatní části zařízení. Pestrost podle vypočteného koeficientu pestrosti byla u snídaní, svačin a večeří nedostatečné, základem je téměř vždy bílé pečivo, celozrnné je podáváno minimálně, syrová zelenina byla za celé sledované období podávána pouze 5x, ovoce většinou ve formě kompotů.</w:t>
      </w:r>
    </w:p>
    <w:p w:rsidR="000A2AB3" w:rsidRPr="000A2AB3" w:rsidRDefault="000A2AB3" w:rsidP="000A2AB3">
      <w:pPr>
        <w:tabs>
          <w:tab w:val="left" w:pos="7768"/>
        </w:tabs>
        <w:rPr>
          <w:rFonts w:cs="Arial"/>
          <w:szCs w:val="22"/>
        </w:rPr>
      </w:pPr>
      <w:r w:rsidRPr="000A2AB3">
        <w:rPr>
          <w:rFonts w:cs="Arial"/>
          <w:szCs w:val="22"/>
        </w:rPr>
        <w:t xml:space="preserve">V případě dlouhodobých léčebných pobytů, byla pestrost stravy hodnocena poměrně kladně, i když i v tomto případě je situace ovlivněna zdravotním stavem pacienta. V těchto případech je strava doplňována nutridrinky nebo bílkovinnými nápoji a v řadě případů se podává strava zvláště mechanicky upravená (mělněná, mixovaná) v návaznosti na zdravotní stav pacienta. </w:t>
      </w:r>
    </w:p>
    <w:p w:rsidR="00031A9B" w:rsidRPr="000A2AB3" w:rsidRDefault="00031A9B" w:rsidP="00031A9B">
      <w:pPr>
        <w:tabs>
          <w:tab w:val="left" w:pos="7768"/>
        </w:tabs>
        <w:rPr>
          <w:rFonts w:cs="Arial"/>
          <w:szCs w:val="22"/>
        </w:rPr>
      </w:pPr>
    </w:p>
    <w:p w:rsidR="00A31E17" w:rsidRPr="000A2AB3" w:rsidRDefault="00A31E17" w:rsidP="00A31E17">
      <w:pPr>
        <w:pStyle w:val="Zhlav"/>
        <w:tabs>
          <w:tab w:val="clear" w:pos="4536"/>
          <w:tab w:val="clear" w:pos="9072"/>
        </w:tabs>
        <w:rPr>
          <w:rFonts w:cs="Arial"/>
          <w:szCs w:val="22"/>
        </w:rPr>
      </w:pPr>
      <w:r w:rsidRPr="000A2AB3">
        <w:rPr>
          <w:rFonts w:cs="Arial"/>
          <w:szCs w:val="22"/>
        </w:rPr>
        <w:t xml:space="preserve">Výsledky hodnocení pestrosti stravy a obsahu živin </w:t>
      </w:r>
      <w:r w:rsidR="00346113" w:rsidRPr="000A2AB3">
        <w:rPr>
          <w:rFonts w:cs="Arial"/>
          <w:szCs w:val="22"/>
        </w:rPr>
        <w:t xml:space="preserve">byly projednány </w:t>
      </w:r>
      <w:r w:rsidRPr="000A2AB3">
        <w:rPr>
          <w:rFonts w:cs="Arial"/>
          <w:szCs w:val="22"/>
        </w:rPr>
        <w:t xml:space="preserve">s vedoucími kuchyně, nutričními terapeuty a vedoucími úseku nelékařského zdravotnictví a kvality. Výsledky </w:t>
      </w:r>
      <w:r w:rsidR="000A2AB3" w:rsidRPr="000A2AB3">
        <w:rPr>
          <w:rFonts w:cs="Arial"/>
          <w:szCs w:val="22"/>
        </w:rPr>
        <w:t xml:space="preserve"> </w:t>
      </w:r>
      <w:bookmarkStart w:id="0" w:name="_GoBack"/>
      <w:bookmarkEnd w:id="0"/>
      <w:r w:rsidR="000A2AB3" w:rsidRPr="000A2AB3">
        <w:rPr>
          <w:rFonts w:cs="Arial"/>
          <w:szCs w:val="22"/>
        </w:rPr>
        <w:t xml:space="preserve">     </w:t>
      </w:r>
      <w:r w:rsidRPr="000A2AB3">
        <w:rPr>
          <w:rFonts w:cs="Arial"/>
          <w:szCs w:val="22"/>
        </w:rPr>
        <w:t xml:space="preserve"> šetření budou vedením nemocnic a zařízení sociálních služeb dále diskutovány a budou zohledněny při další tvorbě jídelníčků.</w:t>
      </w:r>
      <w:r w:rsidR="00B42019" w:rsidRPr="000A2AB3">
        <w:rPr>
          <w:rFonts w:cs="Arial"/>
          <w:szCs w:val="22"/>
        </w:rPr>
        <w:t xml:space="preserve">  </w:t>
      </w:r>
    </w:p>
    <w:p w:rsidR="002666F1" w:rsidRPr="000A2AB3" w:rsidRDefault="002666F1" w:rsidP="002666F1">
      <w:pPr>
        <w:rPr>
          <w:rFonts w:cs="Arial"/>
          <w:szCs w:val="22"/>
        </w:rPr>
      </w:pPr>
    </w:p>
    <w:p w:rsidR="00E55681" w:rsidRDefault="00B42019" w:rsidP="000A2AB3">
      <w:pPr>
        <w:tabs>
          <w:tab w:val="left" w:pos="7768"/>
        </w:tabs>
        <w:rPr>
          <w:rFonts w:cs="Arial"/>
          <w:szCs w:val="22"/>
        </w:rPr>
      </w:pPr>
      <w:r w:rsidRPr="000A2AB3">
        <w:rPr>
          <w:rFonts w:cs="Arial"/>
          <w:szCs w:val="22"/>
        </w:rPr>
        <w:t>Předmětný úkol je pokračováním pilotního projektu, který byl zahájen v roce 2014 a bude pokračovat i v roce 2016 dalším šetřením, které bude zohledňovat informace získané v rámci tohoto úkolu. Metodika hodnocení pestrosti bude muset být dále revidována tak, aby lépe reflektovala situaci jednak v zařízeních sociálních služeb, a jednak ve zdravotnických zařízeních, zejména s ohledem na délku pobytu v těchto zařízeních.</w:t>
      </w:r>
      <w:r w:rsidR="000A2AB3" w:rsidRPr="000A2AB3">
        <w:rPr>
          <w:rFonts w:cs="Arial"/>
          <w:szCs w:val="22"/>
        </w:rPr>
        <w:t xml:space="preserve"> V případě hodnocení naplňování referenčních dávek vybraných živin bude nutné upřesnit hodnoty, vůči kterým bude prováděno vyhodnocení a stanovení těchto hodnot odůvodnit.</w:t>
      </w:r>
      <w:r w:rsidRPr="000A2AB3">
        <w:rPr>
          <w:rFonts w:cs="Arial"/>
          <w:szCs w:val="22"/>
        </w:rPr>
        <w:t xml:space="preserve"> </w:t>
      </w:r>
    </w:p>
    <w:p w:rsidR="00F401B3" w:rsidRDefault="00F401B3" w:rsidP="000A2AB3">
      <w:pPr>
        <w:tabs>
          <w:tab w:val="left" w:pos="7768"/>
        </w:tabs>
        <w:rPr>
          <w:rFonts w:cs="Arial"/>
          <w:szCs w:val="22"/>
        </w:rPr>
      </w:pPr>
    </w:p>
    <w:p w:rsidR="00F401B3" w:rsidRPr="00AF3E38" w:rsidRDefault="00AF3E38" w:rsidP="000A2AB3">
      <w:pPr>
        <w:tabs>
          <w:tab w:val="left" w:pos="7768"/>
        </w:tabs>
        <w:rPr>
          <w:rFonts w:cs="Arial"/>
          <w:szCs w:val="22"/>
        </w:rPr>
      </w:pPr>
      <w:r>
        <w:rPr>
          <w:rFonts w:cs="Arial"/>
          <w:szCs w:val="22"/>
        </w:rPr>
        <w:t xml:space="preserve">Hlavní </w:t>
      </w:r>
      <w:r w:rsidR="00F401B3" w:rsidRPr="00AF3E38">
        <w:rPr>
          <w:rFonts w:cs="Arial"/>
          <w:szCs w:val="22"/>
        </w:rPr>
        <w:t>závěry j</w:t>
      </w:r>
      <w:r>
        <w:rPr>
          <w:rFonts w:cs="Arial"/>
          <w:szCs w:val="22"/>
        </w:rPr>
        <w:t>sou</w:t>
      </w:r>
      <w:r w:rsidR="00F401B3" w:rsidRPr="00AF3E38">
        <w:rPr>
          <w:rFonts w:cs="Arial"/>
          <w:szCs w:val="22"/>
        </w:rPr>
        <w:t>:</w:t>
      </w:r>
    </w:p>
    <w:p w:rsidR="00F401B3" w:rsidRPr="00022B26" w:rsidRDefault="00F401B3" w:rsidP="00022B26">
      <w:pPr>
        <w:pStyle w:val="Odstavecseseznamem"/>
        <w:numPr>
          <w:ilvl w:val="0"/>
          <w:numId w:val="24"/>
        </w:numPr>
        <w:tabs>
          <w:tab w:val="left" w:pos="7768"/>
        </w:tabs>
        <w:rPr>
          <w:rFonts w:cs="Arial"/>
          <w:szCs w:val="22"/>
        </w:rPr>
      </w:pPr>
      <w:r w:rsidRPr="00AF3E38">
        <w:rPr>
          <w:rFonts w:ascii="Arial" w:hAnsi="Arial" w:cs="Arial"/>
          <w:sz w:val="22"/>
          <w:szCs w:val="22"/>
        </w:rPr>
        <w:t>snížení přívodu soli</w:t>
      </w:r>
      <w:r w:rsidR="00AF3E38" w:rsidRPr="00AF3E38">
        <w:rPr>
          <w:rFonts w:ascii="Arial" w:hAnsi="Arial" w:cs="Arial"/>
          <w:sz w:val="22"/>
          <w:szCs w:val="22"/>
        </w:rPr>
        <w:t>;</w:t>
      </w:r>
      <w:r w:rsidRPr="00AF3E38">
        <w:rPr>
          <w:rFonts w:ascii="Arial" w:hAnsi="Arial" w:cs="Arial"/>
          <w:sz w:val="22"/>
          <w:szCs w:val="22"/>
        </w:rPr>
        <w:t xml:space="preserve"> přívod soli překrač</w:t>
      </w:r>
      <w:r w:rsidR="00AF3E38" w:rsidRPr="00AF3E38">
        <w:rPr>
          <w:rFonts w:ascii="Arial" w:hAnsi="Arial" w:cs="Arial"/>
          <w:sz w:val="22"/>
          <w:szCs w:val="22"/>
        </w:rPr>
        <w:t>uje doporučenou denní dávku 6 g</w:t>
      </w:r>
      <w:r w:rsidR="00AF3E38" w:rsidRPr="00022B26">
        <w:rPr>
          <w:rFonts w:ascii="Arial" w:hAnsi="Arial" w:cs="Arial"/>
          <w:sz w:val="22"/>
          <w:szCs w:val="22"/>
        </w:rPr>
        <w:t>/</w:t>
      </w:r>
      <w:r w:rsidRPr="00022B26">
        <w:rPr>
          <w:rFonts w:ascii="Arial" w:hAnsi="Arial" w:cs="Arial"/>
          <w:sz w:val="22"/>
          <w:szCs w:val="22"/>
        </w:rPr>
        <w:t>denně</w:t>
      </w:r>
      <w:r w:rsidR="00AF3E38">
        <w:rPr>
          <w:rFonts w:ascii="Arial" w:hAnsi="Arial" w:cs="Arial"/>
          <w:sz w:val="22"/>
          <w:szCs w:val="22"/>
        </w:rPr>
        <w:t>;</w:t>
      </w:r>
    </w:p>
    <w:p w:rsidR="00AF3E38" w:rsidRPr="00022B26" w:rsidRDefault="00AF3E38" w:rsidP="00022B26">
      <w:pPr>
        <w:pStyle w:val="Odstavecseseznamem"/>
        <w:numPr>
          <w:ilvl w:val="0"/>
          <w:numId w:val="24"/>
        </w:numPr>
        <w:tabs>
          <w:tab w:val="left" w:pos="7768"/>
        </w:tabs>
        <w:rPr>
          <w:rFonts w:cs="Arial"/>
          <w:szCs w:val="22"/>
        </w:rPr>
      </w:pPr>
      <w:r w:rsidRPr="00022B26">
        <w:rPr>
          <w:rFonts w:ascii="Arial" w:hAnsi="Arial" w:cs="Arial"/>
          <w:sz w:val="22"/>
          <w:szCs w:val="22"/>
        </w:rPr>
        <w:t>zvýšení přívodu vlákniny; přívod vlákniny nedosahuje doporučovanou denní dávku 30 g/denně</w:t>
      </w:r>
      <w:r>
        <w:rPr>
          <w:rFonts w:ascii="Arial" w:hAnsi="Arial" w:cs="Arial"/>
          <w:sz w:val="22"/>
          <w:szCs w:val="22"/>
        </w:rPr>
        <w:t>;</w:t>
      </w:r>
    </w:p>
    <w:p w:rsidR="00AF3E38" w:rsidRPr="00022B26" w:rsidRDefault="00AF3E38" w:rsidP="00022B26">
      <w:pPr>
        <w:pStyle w:val="Odstavecseseznamem"/>
        <w:numPr>
          <w:ilvl w:val="0"/>
          <w:numId w:val="24"/>
        </w:numPr>
        <w:tabs>
          <w:tab w:val="left" w:pos="7768"/>
        </w:tabs>
        <w:rPr>
          <w:rFonts w:cs="Arial"/>
          <w:szCs w:val="22"/>
        </w:rPr>
      </w:pPr>
      <w:r w:rsidRPr="00022B26">
        <w:rPr>
          <w:rFonts w:ascii="Arial" w:hAnsi="Arial" w:cs="Arial"/>
          <w:sz w:val="22"/>
          <w:szCs w:val="22"/>
        </w:rPr>
        <w:t>věnování pozornosti trojpoměru základních živin – bílkoviny/tuky/sacharidy; zvýšení přívodu sacharidů ve formě komplexních cukrů</w:t>
      </w:r>
      <w:r>
        <w:rPr>
          <w:rFonts w:ascii="Arial" w:hAnsi="Arial" w:cs="Arial"/>
          <w:sz w:val="22"/>
          <w:szCs w:val="22"/>
        </w:rPr>
        <w:t>;</w:t>
      </w:r>
    </w:p>
    <w:p w:rsidR="00AF3E38" w:rsidRPr="00022B26" w:rsidRDefault="00AF3E38" w:rsidP="00022B26">
      <w:pPr>
        <w:pStyle w:val="Odstavecseseznamem"/>
        <w:numPr>
          <w:ilvl w:val="0"/>
          <w:numId w:val="24"/>
        </w:numPr>
        <w:tabs>
          <w:tab w:val="left" w:pos="7768"/>
        </w:tabs>
        <w:rPr>
          <w:rFonts w:cs="Arial"/>
          <w:szCs w:val="22"/>
        </w:rPr>
      </w:pPr>
      <w:r w:rsidRPr="00022B26">
        <w:rPr>
          <w:rFonts w:ascii="Arial" w:hAnsi="Arial" w:cs="Arial"/>
          <w:sz w:val="22"/>
          <w:szCs w:val="22"/>
        </w:rPr>
        <w:t>zvýšení pestrosti stravy v zařízeních sociálních služeb a ve zdravotnických zařízeních s delší dobou pobytu pacientů</w:t>
      </w:r>
      <w:r>
        <w:rPr>
          <w:rFonts w:ascii="Arial" w:hAnsi="Arial" w:cs="Arial"/>
          <w:sz w:val="22"/>
          <w:szCs w:val="22"/>
        </w:rPr>
        <w:t>.</w:t>
      </w:r>
    </w:p>
    <w:p w:rsidR="00AF3E38" w:rsidRPr="000A2AB3" w:rsidRDefault="00AF3E38" w:rsidP="000A2AB3">
      <w:pPr>
        <w:tabs>
          <w:tab w:val="left" w:pos="7768"/>
        </w:tabs>
        <w:rPr>
          <w:rFonts w:cs="Arial"/>
          <w:b/>
          <w:sz w:val="24"/>
        </w:rPr>
      </w:pPr>
    </w:p>
    <w:sectPr w:rsidR="00AF3E38" w:rsidRPr="000A2AB3" w:rsidSect="00061E9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92" w:rsidRDefault="007F3192" w:rsidP="006D708D">
      <w:r>
        <w:separator/>
      </w:r>
    </w:p>
  </w:endnote>
  <w:endnote w:type="continuationSeparator" w:id="0">
    <w:p w:rsidR="007F3192" w:rsidRDefault="007F3192" w:rsidP="006D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04348"/>
      <w:docPartObj>
        <w:docPartGallery w:val="Page Numbers (Bottom of Page)"/>
        <w:docPartUnique/>
      </w:docPartObj>
    </w:sdtPr>
    <w:sdtEndPr/>
    <w:sdtContent>
      <w:p w:rsidR="007F3192" w:rsidRDefault="007F3192">
        <w:pPr>
          <w:pStyle w:val="Zpat"/>
          <w:jc w:val="right"/>
        </w:pPr>
        <w:r>
          <w:fldChar w:fldCharType="begin"/>
        </w:r>
        <w:r>
          <w:instrText>PAGE   \* MERGEFORMAT</w:instrText>
        </w:r>
        <w:r>
          <w:fldChar w:fldCharType="separate"/>
        </w:r>
        <w:r w:rsidR="00022B26">
          <w:rPr>
            <w:noProof/>
          </w:rPr>
          <w:t>1</w:t>
        </w:r>
        <w:r>
          <w:fldChar w:fldCharType="end"/>
        </w:r>
      </w:p>
    </w:sdtContent>
  </w:sdt>
  <w:p w:rsidR="007F3192" w:rsidRDefault="007F31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92" w:rsidRDefault="007F3192" w:rsidP="006D708D">
      <w:r>
        <w:separator/>
      </w:r>
    </w:p>
  </w:footnote>
  <w:footnote w:type="continuationSeparator" w:id="0">
    <w:p w:rsidR="007F3192" w:rsidRDefault="007F3192" w:rsidP="006D7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D6E"/>
    <w:multiLevelType w:val="hybridMultilevel"/>
    <w:tmpl w:val="3C20E21A"/>
    <w:lvl w:ilvl="0" w:tplc="F30EE2B0">
      <w:start w:val="1"/>
      <w:numFmt w:val="lowerLetter"/>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
    <w:nsid w:val="06477744"/>
    <w:multiLevelType w:val="hybridMultilevel"/>
    <w:tmpl w:val="7EFC075E"/>
    <w:lvl w:ilvl="0" w:tplc="F168ECD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C6D61B8"/>
    <w:multiLevelType w:val="hybridMultilevel"/>
    <w:tmpl w:val="772A092C"/>
    <w:lvl w:ilvl="0" w:tplc="CB9C92E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07A46AF"/>
    <w:multiLevelType w:val="hybridMultilevel"/>
    <w:tmpl w:val="66462426"/>
    <w:lvl w:ilvl="0" w:tplc="306E713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207291"/>
    <w:multiLevelType w:val="hybridMultilevel"/>
    <w:tmpl w:val="DC80DAF2"/>
    <w:lvl w:ilvl="0" w:tplc="4A8AEF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6680ABB"/>
    <w:multiLevelType w:val="hybridMultilevel"/>
    <w:tmpl w:val="8E26A9D6"/>
    <w:lvl w:ilvl="0" w:tplc="BDD8BF46">
      <w:start w:val="5"/>
      <w:numFmt w:val="bullet"/>
      <w:lvlText w:val="-"/>
      <w:lvlJc w:val="left"/>
      <w:pPr>
        <w:ind w:left="720" w:hanging="360"/>
      </w:pPr>
      <w:rPr>
        <w:rFonts w:ascii="Times New Roman" w:eastAsia="Calibr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7BD35B8"/>
    <w:multiLevelType w:val="hybridMultilevel"/>
    <w:tmpl w:val="47026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440469"/>
    <w:multiLevelType w:val="hybridMultilevel"/>
    <w:tmpl w:val="8A8EEE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6305A6"/>
    <w:multiLevelType w:val="hybridMultilevel"/>
    <w:tmpl w:val="3EBAE7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BB360F"/>
    <w:multiLevelType w:val="hybridMultilevel"/>
    <w:tmpl w:val="1ACC4E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FA2A02"/>
    <w:multiLevelType w:val="hybridMultilevel"/>
    <w:tmpl w:val="AC7228DE"/>
    <w:lvl w:ilvl="0" w:tplc="FB30102C">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5787BF7"/>
    <w:multiLevelType w:val="hybridMultilevel"/>
    <w:tmpl w:val="11066932"/>
    <w:lvl w:ilvl="0" w:tplc="B20050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EF0E70"/>
    <w:multiLevelType w:val="hybridMultilevel"/>
    <w:tmpl w:val="3C20E21A"/>
    <w:lvl w:ilvl="0" w:tplc="F30EE2B0">
      <w:start w:val="1"/>
      <w:numFmt w:val="lowerLetter"/>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3">
    <w:nsid w:val="47177F03"/>
    <w:multiLevelType w:val="hybridMultilevel"/>
    <w:tmpl w:val="03424F00"/>
    <w:lvl w:ilvl="0" w:tplc="38687BA6">
      <w:start w:val="5"/>
      <w:numFmt w:val="lowerLetter"/>
      <w:lvlText w:val="%1."/>
      <w:lvlJc w:val="left"/>
      <w:pPr>
        <w:ind w:left="360" w:hanging="360"/>
      </w:pPr>
      <w:rPr>
        <w:rFonts w:cs="Arial"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BA24F42"/>
    <w:multiLevelType w:val="hybridMultilevel"/>
    <w:tmpl w:val="24DEDA3C"/>
    <w:lvl w:ilvl="0" w:tplc="B5BA501E">
      <w:numFmt w:val="bullet"/>
      <w:lvlText w:val=""/>
      <w:lvlJc w:val="left"/>
      <w:pPr>
        <w:ind w:left="170" w:hanging="360"/>
      </w:pPr>
      <w:rPr>
        <w:rFonts w:ascii="Symbol" w:eastAsia="Times New Roman" w:hAnsi="Symbol" w:cs="Arial" w:hint="default"/>
      </w:rPr>
    </w:lvl>
    <w:lvl w:ilvl="1" w:tplc="04050003" w:tentative="1">
      <w:start w:val="1"/>
      <w:numFmt w:val="bullet"/>
      <w:lvlText w:val="o"/>
      <w:lvlJc w:val="left"/>
      <w:pPr>
        <w:ind w:left="890" w:hanging="360"/>
      </w:pPr>
      <w:rPr>
        <w:rFonts w:ascii="Courier New" w:hAnsi="Courier New" w:cs="Courier New" w:hint="default"/>
      </w:rPr>
    </w:lvl>
    <w:lvl w:ilvl="2" w:tplc="04050005" w:tentative="1">
      <w:start w:val="1"/>
      <w:numFmt w:val="bullet"/>
      <w:lvlText w:val=""/>
      <w:lvlJc w:val="left"/>
      <w:pPr>
        <w:ind w:left="1610" w:hanging="360"/>
      </w:pPr>
      <w:rPr>
        <w:rFonts w:ascii="Wingdings" w:hAnsi="Wingdings" w:hint="default"/>
      </w:rPr>
    </w:lvl>
    <w:lvl w:ilvl="3" w:tplc="04050001" w:tentative="1">
      <w:start w:val="1"/>
      <w:numFmt w:val="bullet"/>
      <w:lvlText w:val=""/>
      <w:lvlJc w:val="left"/>
      <w:pPr>
        <w:ind w:left="2330" w:hanging="360"/>
      </w:pPr>
      <w:rPr>
        <w:rFonts w:ascii="Symbol" w:hAnsi="Symbol" w:hint="default"/>
      </w:rPr>
    </w:lvl>
    <w:lvl w:ilvl="4" w:tplc="04050003" w:tentative="1">
      <w:start w:val="1"/>
      <w:numFmt w:val="bullet"/>
      <w:lvlText w:val="o"/>
      <w:lvlJc w:val="left"/>
      <w:pPr>
        <w:ind w:left="3050" w:hanging="360"/>
      </w:pPr>
      <w:rPr>
        <w:rFonts w:ascii="Courier New" w:hAnsi="Courier New" w:cs="Courier New" w:hint="default"/>
      </w:rPr>
    </w:lvl>
    <w:lvl w:ilvl="5" w:tplc="04050005" w:tentative="1">
      <w:start w:val="1"/>
      <w:numFmt w:val="bullet"/>
      <w:lvlText w:val=""/>
      <w:lvlJc w:val="left"/>
      <w:pPr>
        <w:ind w:left="3770" w:hanging="360"/>
      </w:pPr>
      <w:rPr>
        <w:rFonts w:ascii="Wingdings" w:hAnsi="Wingdings" w:hint="default"/>
      </w:rPr>
    </w:lvl>
    <w:lvl w:ilvl="6" w:tplc="04050001" w:tentative="1">
      <w:start w:val="1"/>
      <w:numFmt w:val="bullet"/>
      <w:lvlText w:val=""/>
      <w:lvlJc w:val="left"/>
      <w:pPr>
        <w:ind w:left="4490" w:hanging="360"/>
      </w:pPr>
      <w:rPr>
        <w:rFonts w:ascii="Symbol" w:hAnsi="Symbol" w:hint="default"/>
      </w:rPr>
    </w:lvl>
    <w:lvl w:ilvl="7" w:tplc="04050003" w:tentative="1">
      <w:start w:val="1"/>
      <w:numFmt w:val="bullet"/>
      <w:lvlText w:val="o"/>
      <w:lvlJc w:val="left"/>
      <w:pPr>
        <w:ind w:left="5210" w:hanging="360"/>
      </w:pPr>
      <w:rPr>
        <w:rFonts w:ascii="Courier New" w:hAnsi="Courier New" w:cs="Courier New" w:hint="default"/>
      </w:rPr>
    </w:lvl>
    <w:lvl w:ilvl="8" w:tplc="04050005" w:tentative="1">
      <w:start w:val="1"/>
      <w:numFmt w:val="bullet"/>
      <w:lvlText w:val=""/>
      <w:lvlJc w:val="left"/>
      <w:pPr>
        <w:ind w:left="5930" w:hanging="360"/>
      </w:pPr>
      <w:rPr>
        <w:rFonts w:ascii="Wingdings" w:hAnsi="Wingdings" w:hint="default"/>
      </w:rPr>
    </w:lvl>
  </w:abstractNum>
  <w:abstractNum w:abstractNumId="15">
    <w:nsid w:val="4CDB1FF4"/>
    <w:multiLevelType w:val="hybridMultilevel"/>
    <w:tmpl w:val="19423DE0"/>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3B22543"/>
    <w:multiLevelType w:val="hybridMultilevel"/>
    <w:tmpl w:val="6292DF7C"/>
    <w:lvl w:ilvl="0" w:tplc="631CA89A">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nsid w:val="548952EB"/>
    <w:multiLevelType w:val="multilevel"/>
    <w:tmpl w:val="7484492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CA739D6"/>
    <w:multiLevelType w:val="hybridMultilevel"/>
    <w:tmpl w:val="C922BEA8"/>
    <w:lvl w:ilvl="0" w:tplc="B20050A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2E70A6F"/>
    <w:multiLevelType w:val="hybridMultilevel"/>
    <w:tmpl w:val="F57C37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EA5C44"/>
    <w:multiLevelType w:val="hybridMultilevel"/>
    <w:tmpl w:val="F57C37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CE71EA"/>
    <w:multiLevelType w:val="hybridMultilevel"/>
    <w:tmpl w:val="910046B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9395D72"/>
    <w:multiLevelType w:val="hybridMultilevel"/>
    <w:tmpl w:val="50B21DDC"/>
    <w:lvl w:ilvl="0" w:tplc="2DA21D26">
      <w:start w:val="4"/>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7E84643E"/>
    <w:multiLevelType w:val="hybridMultilevel"/>
    <w:tmpl w:val="BE24E5C8"/>
    <w:lvl w:ilvl="0" w:tplc="D9A42696">
      <w:start w:val="1"/>
      <w:numFmt w:val="lowerLetter"/>
      <w:lvlText w:val="%1."/>
      <w:lvlJc w:val="left"/>
      <w:pPr>
        <w:ind w:left="360" w:hanging="360"/>
      </w:pPr>
      <w:rPr>
        <w:rFonts w:cs="Arial"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15"/>
  </w:num>
  <w:num w:numId="3">
    <w:abstractNumId w:val="23"/>
  </w:num>
  <w:num w:numId="4">
    <w:abstractNumId w:val="13"/>
  </w:num>
  <w:num w:numId="5">
    <w:abstractNumId w:val="22"/>
  </w:num>
  <w:num w:numId="6">
    <w:abstractNumId w:val="6"/>
  </w:num>
  <w:num w:numId="7">
    <w:abstractNumId w:val="1"/>
  </w:num>
  <w:num w:numId="8">
    <w:abstractNumId w:val="18"/>
  </w:num>
  <w:num w:numId="9">
    <w:abstractNumId w:val="11"/>
  </w:num>
  <w:num w:numId="10">
    <w:abstractNumId w:val="2"/>
  </w:num>
  <w:num w:numId="11">
    <w:abstractNumId w:val="7"/>
  </w:num>
  <w:num w:numId="12">
    <w:abstractNumId w:val="5"/>
  </w:num>
  <w:num w:numId="13">
    <w:abstractNumId w:val="3"/>
  </w:num>
  <w:num w:numId="14">
    <w:abstractNumId w:val="10"/>
  </w:num>
  <w:num w:numId="15">
    <w:abstractNumId w:val="16"/>
  </w:num>
  <w:num w:numId="16">
    <w:abstractNumId w:val="17"/>
  </w:num>
  <w:num w:numId="17">
    <w:abstractNumId w:val="0"/>
  </w:num>
  <w:num w:numId="18">
    <w:abstractNumId w:val="8"/>
  </w:num>
  <w:num w:numId="19">
    <w:abstractNumId w:val="4"/>
  </w:num>
  <w:num w:numId="20">
    <w:abstractNumId w:val="19"/>
  </w:num>
  <w:num w:numId="21">
    <w:abstractNumId w:val="20"/>
  </w:num>
  <w:num w:numId="22">
    <w:abstractNumId w:val="14"/>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8D"/>
    <w:rsid w:val="00022B26"/>
    <w:rsid w:val="000250D3"/>
    <w:rsid w:val="00031A9B"/>
    <w:rsid w:val="00061E90"/>
    <w:rsid w:val="0008481C"/>
    <w:rsid w:val="000A2AB3"/>
    <w:rsid w:val="000A5A82"/>
    <w:rsid w:val="000A6993"/>
    <w:rsid w:val="000B556E"/>
    <w:rsid w:val="000C70E6"/>
    <w:rsid w:val="000F00C6"/>
    <w:rsid w:val="001073CA"/>
    <w:rsid w:val="00125612"/>
    <w:rsid w:val="00144CFF"/>
    <w:rsid w:val="00181592"/>
    <w:rsid w:val="00183980"/>
    <w:rsid w:val="001D78E9"/>
    <w:rsid w:val="00207EE3"/>
    <w:rsid w:val="002666F1"/>
    <w:rsid w:val="002A5444"/>
    <w:rsid w:val="002B0534"/>
    <w:rsid w:val="002C03B7"/>
    <w:rsid w:val="002C23C6"/>
    <w:rsid w:val="002D3B99"/>
    <w:rsid w:val="002E3E8F"/>
    <w:rsid w:val="0030220B"/>
    <w:rsid w:val="00340AFC"/>
    <w:rsid w:val="00346113"/>
    <w:rsid w:val="003A5F3A"/>
    <w:rsid w:val="003E5E51"/>
    <w:rsid w:val="003E6BD0"/>
    <w:rsid w:val="003F3356"/>
    <w:rsid w:val="00413F62"/>
    <w:rsid w:val="00414413"/>
    <w:rsid w:val="00416881"/>
    <w:rsid w:val="00420AA3"/>
    <w:rsid w:val="00431209"/>
    <w:rsid w:val="00440560"/>
    <w:rsid w:val="004601E9"/>
    <w:rsid w:val="00462000"/>
    <w:rsid w:val="00467395"/>
    <w:rsid w:val="004B0A70"/>
    <w:rsid w:val="004B5D46"/>
    <w:rsid w:val="004D3E6E"/>
    <w:rsid w:val="00501EC2"/>
    <w:rsid w:val="005511EE"/>
    <w:rsid w:val="00553DF1"/>
    <w:rsid w:val="00562D7F"/>
    <w:rsid w:val="005A1AD6"/>
    <w:rsid w:val="005C21A4"/>
    <w:rsid w:val="00625ED6"/>
    <w:rsid w:val="006348E3"/>
    <w:rsid w:val="00634DC1"/>
    <w:rsid w:val="00651241"/>
    <w:rsid w:val="00662967"/>
    <w:rsid w:val="00670578"/>
    <w:rsid w:val="00683B2C"/>
    <w:rsid w:val="00694BED"/>
    <w:rsid w:val="006A2BE4"/>
    <w:rsid w:val="006B6D78"/>
    <w:rsid w:val="006C6CC9"/>
    <w:rsid w:val="006D708D"/>
    <w:rsid w:val="006F1919"/>
    <w:rsid w:val="0070103A"/>
    <w:rsid w:val="007443F1"/>
    <w:rsid w:val="00746C96"/>
    <w:rsid w:val="00750486"/>
    <w:rsid w:val="00790777"/>
    <w:rsid w:val="007B76A2"/>
    <w:rsid w:val="007C7D39"/>
    <w:rsid w:val="007F3192"/>
    <w:rsid w:val="00807D65"/>
    <w:rsid w:val="00846B80"/>
    <w:rsid w:val="00857CC4"/>
    <w:rsid w:val="008E1F0A"/>
    <w:rsid w:val="008E3111"/>
    <w:rsid w:val="00952333"/>
    <w:rsid w:val="00996E9C"/>
    <w:rsid w:val="009E4590"/>
    <w:rsid w:val="00A22D08"/>
    <w:rsid w:val="00A31E17"/>
    <w:rsid w:val="00A47DA3"/>
    <w:rsid w:val="00A54FB9"/>
    <w:rsid w:val="00A572EF"/>
    <w:rsid w:val="00A6461E"/>
    <w:rsid w:val="00A66875"/>
    <w:rsid w:val="00A66FA1"/>
    <w:rsid w:val="00A84BD1"/>
    <w:rsid w:val="00A87604"/>
    <w:rsid w:val="00AB7D4D"/>
    <w:rsid w:val="00AC22BE"/>
    <w:rsid w:val="00AF3E38"/>
    <w:rsid w:val="00AF7BE4"/>
    <w:rsid w:val="00B34FDC"/>
    <w:rsid w:val="00B42019"/>
    <w:rsid w:val="00B47BA7"/>
    <w:rsid w:val="00C26D53"/>
    <w:rsid w:val="00C51E6A"/>
    <w:rsid w:val="00C62930"/>
    <w:rsid w:val="00C64D85"/>
    <w:rsid w:val="00CE50E4"/>
    <w:rsid w:val="00D30E54"/>
    <w:rsid w:val="00D3454C"/>
    <w:rsid w:val="00D83898"/>
    <w:rsid w:val="00D902A3"/>
    <w:rsid w:val="00DC150F"/>
    <w:rsid w:val="00DC73A2"/>
    <w:rsid w:val="00DD530A"/>
    <w:rsid w:val="00E00085"/>
    <w:rsid w:val="00E55681"/>
    <w:rsid w:val="00E84A6E"/>
    <w:rsid w:val="00ED6635"/>
    <w:rsid w:val="00EE43FF"/>
    <w:rsid w:val="00EF6DBA"/>
    <w:rsid w:val="00F035B6"/>
    <w:rsid w:val="00F05CDE"/>
    <w:rsid w:val="00F2262B"/>
    <w:rsid w:val="00F24A3F"/>
    <w:rsid w:val="00F27EE7"/>
    <w:rsid w:val="00F36985"/>
    <w:rsid w:val="00F401B3"/>
    <w:rsid w:val="00F76263"/>
    <w:rsid w:val="00F9270E"/>
    <w:rsid w:val="00FA598E"/>
    <w:rsid w:val="00FB45CF"/>
    <w:rsid w:val="00FC4676"/>
    <w:rsid w:val="00FD2403"/>
    <w:rsid w:val="00FF1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D708D"/>
    <w:pPr>
      <w:jc w:val="both"/>
    </w:pPr>
    <w:rPr>
      <w:rFonts w:ascii="Arial" w:hAnsi="Arial"/>
      <w:sz w:val="22"/>
      <w:szCs w:val="24"/>
    </w:rPr>
  </w:style>
  <w:style w:type="paragraph" w:styleId="Nadpis7">
    <w:name w:val="heading 7"/>
    <w:basedOn w:val="Normln"/>
    <w:next w:val="Normln"/>
    <w:link w:val="Nadpis7Char"/>
    <w:uiPriority w:val="9"/>
    <w:unhideWhenUsed/>
    <w:qFormat/>
    <w:rsid w:val="00694BED"/>
    <w:pPr>
      <w:keepNext/>
      <w:keepLines/>
      <w:spacing w:before="200"/>
      <w:jc w:val="left"/>
      <w:outlineLvl w:val="6"/>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D708D"/>
    <w:pPr>
      <w:tabs>
        <w:tab w:val="center" w:pos="4536"/>
        <w:tab w:val="right" w:pos="9072"/>
      </w:tabs>
    </w:pPr>
  </w:style>
  <w:style w:type="character" w:customStyle="1" w:styleId="ZhlavChar">
    <w:name w:val="Záhlaví Char"/>
    <w:basedOn w:val="Standardnpsmoodstavce"/>
    <w:link w:val="Zhlav"/>
    <w:uiPriority w:val="99"/>
    <w:rsid w:val="006D708D"/>
    <w:rPr>
      <w:rFonts w:ascii="Arial" w:hAnsi="Arial"/>
      <w:sz w:val="22"/>
      <w:szCs w:val="24"/>
    </w:rPr>
  </w:style>
  <w:style w:type="paragraph" w:styleId="Zkladntext3">
    <w:name w:val="Body Text 3"/>
    <w:basedOn w:val="Normln"/>
    <w:link w:val="Zkladntext3Char"/>
    <w:rsid w:val="006D708D"/>
    <w:rPr>
      <w:rFonts w:ascii="Times New Roman" w:hAnsi="Times New Roman"/>
      <w:sz w:val="24"/>
    </w:rPr>
  </w:style>
  <w:style w:type="character" w:customStyle="1" w:styleId="Zkladntext3Char">
    <w:name w:val="Základní text 3 Char"/>
    <w:basedOn w:val="Standardnpsmoodstavce"/>
    <w:link w:val="Zkladntext3"/>
    <w:rsid w:val="006D708D"/>
    <w:rPr>
      <w:sz w:val="24"/>
      <w:szCs w:val="24"/>
    </w:rPr>
  </w:style>
  <w:style w:type="paragraph" w:styleId="Podtitul">
    <w:name w:val="Subtitle"/>
    <w:basedOn w:val="Zkladntext"/>
    <w:link w:val="PodtitulChar"/>
    <w:qFormat/>
    <w:rsid w:val="006D708D"/>
    <w:pPr>
      <w:spacing w:before="40" w:after="60"/>
      <w:jc w:val="center"/>
    </w:pPr>
    <w:rPr>
      <w:i/>
      <w:szCs w:val="20"/>
    </w:rPr>
  </w:style>
  <w:style w:type="character" w:customStyle="1" w:styleId="PodtitulChar">
    <w:name w:val="Podtitul Char"/>
    <w:basedOn w:val="Standardnpsmoodstavce"/>
    <w:link w:val="Podtitul"/>
    <w:rsid w:val="006D708D"/>
    <w:rPr>
      <w:rFonts w:ascii="Arial" w:hAnsi="Arial"/>
      <w:i/>
      <w:sz w:val="22"/>
    </w:rPr>
  </w:style>
  <w:style w:type="paragraph" w:styleId="Nzev">
    <w:name w:val="Title"/>
    <w:basedOn w:val="Zkladntext"/>
    <w:link w:val="NzevChar"/>
    <w:qFormat/>
    <w:rsid w:val="006D708D"/>
    <w:pPr>
      <w:spacing w:before="240" w:after="60"/>
      <w:jc w:val="center"/>
    </w:pPr>
    <w:rPr>
      <w:b/>
      <w:kern w:val="28"/>
      <w:sz w:val="32"/>
      <w:szCs w:val="20"/>
    </w:rPr>
  </w:style>
  <w:style w:type="character" w:customStyle="1" w:styleId="NzevChar">
    <w:name w:val="Název Char"/>
    <w:basedOn w:val="Standardnpsmoodstavce"/>
    <w:link w:val="Nzev"/>
    <w:rsid w:val="006D708D"/>
    <w:rPr>
      <w:rFonts w:ascii="Arial" w:hAnsi="Arial"/>
      <w:b/>
      <w:kern w:val="28"/>
      <w:sz w:val="32"/>
    </w:rPr>
  </w:style>
  <w:style w:type="paragraph" w:styleId="Zkladntext">
    <w:name w:val="Body Text"/>
    <w:basedOn w:val="Normln"/>
    <w:link w:val="ZkladntextChar"/>
    <w:rsid w:val="006D708D"/>
    <w:pPr>
      <w:spacing w:after="120"/>
    </w:pPr>
  </w:style>
  <w:style w:type="character" w:customStyle="1" w:styleId="ZkladntextChar">
    <w:name w:val="Základní text Char"/>
    <w:basedOn w:val="Standardnpsmoodstavce"/>
    <w:link w:val="Zkladntext"/>
    <w:rsid w:val="006D708D"/>
    <w:rPr>
      <w:rFonts w:ascii="Arial" w:hAnsi="Arial"/>
      <w:sz w:val="22"/>
      <w:szCs w:val="24"/>
    </w:rPr>
  </w:style>
  <w:style w:type="paragraph" w:styleId="Zpat">
    <w:name w:val="footer"/>
    <w:basedOn w:val="Normln"/>
    <w:link w:val="ZpatChar"/>
    <w:uiPriority w:val="99"/>
    <w:rsid w:val="006D708D"/>
    <w:pPr>
      <w:tabs>
        <w:tab w:val="center" w:pos="4536"/>
        <w:tab w:val="right" w:pos="9072"/>
      </w:tabs>
    </w:pPr>
  </w:style>
  <w:style w:type="character" w:customStyle="1" w:styleId="ZpatChar">
    <w:name w:val="Zápatí Char"/>
    <w:basedOn w:val="Standardnpsmoodstavce"/>
    <w:link w:val="Zpat"/>
    <w:uiPriority w:val="99"/>
    <w:rsid w:val="006D708D"/>
    <w:rPr>
      <w:rFonts w:ascii="Arial" w:hAnsi="Arial"/>
      <w:sz w:val="22"/>
      <w:szCs w:val="24"/>
    </w:rPr>
  </w:style>
  <w:style w:type="paragraph" w:customStyle="1" w:styleId="Import6">
    <w:name w:val="Import 6"/>
    <w:basedOn w:val="Normln"/>
    <w:rsid w:val="007443F1"/>
    <w:pPr>
      <w:widowControl w:val="0"/>
      <w:tabs>
        <w:tab w:val="bar" w:pos="0"/>
        <w:tab w:val="bar" w:pos="163"/>
        <w:tab w:val="decimal" w:pos="28628"/>
      </w:tabs>
      <w:ind w:left="576"/>
      <w:jc w:val="left"/>
    </w:pPr>
    <w:rPr>
      <w:rFonts w:ascii="Courier New" w:hAnsi="Courier New" w:cs="Courier New"/>
      <w:noProof/>
      <w:color w:val="000000"/>
      <w:sz w:val="24"/>
    </w:rPr>
  </w:style>
  <w:style w:type="paragraph" w:styleId="Odstavecseseznamem">
    <w:name w:val="List Paragraph"/>
    <w:basedOn w:val="Normln"/>
    <w:uiPriority w:val="34"/>
    <w:qFormat/>
    <w:rsid w:val="007443F1"/>
    <w:pPr>
      <w:ind w:left="708"/>
      <w:jc w:val="left"/>
    </w:pPr>
    <w:rPr>
      <w:rFonts w:ascii="Times New Roman" w:hAnsi="Times New Roman"/>
      <w:sz w:val="24"/>
    </w:rPr>
  </w:style>
  <w:style w:type="paragraph" w:customStyle="1" w:styleId="Zkladntext21">
    <w:name w:val="Základní text 21"/>
    <w:basedOn w:val="Normln"/>
    <w:rsid w:val="007443F1"/>
    <w:pPr>
      <w:suppressAutoHyphens/>
      <w:ind w:right="141"/>
      <w:jc w:val="center"/>
    </w:pPr>
    <w:rPr>
      <w:rFonts w:ascii="Times New Roman" w:hAnsi="Times New Roman"/>
      <w:b/>
      <w:i/>
      <w:sz w:val="24"/>
      <w:szCs w:val="20"/>
      <w:lang w:eastAsia="ar-SA"/>
    </w:rPr>
  </w:style>
  <w:style w:type="paragraph" w:styleId="Textbubliny">
    <w:name w:val="Balloon Text"/>
    <w:basedOn w:val="Normln"/>
    <w:link w:val="TextbublinyChar"/>
    <w:rsid w:val="007443F1"/>
    <w:rPr>
      <w:rFonts w:ascii="Tahoma" w:hAnsi="Tahoma" w:cs="Tahoma"/>
      <w:sz w:val="16"/>
      <w:szCs w:val="16"/>
    </w:rPr>
  </w:style>
  <w:style w:type="character" w:customStyle="1" w:styleId="TextbublinyChar">
    <w:name w:val="Text bubliny Char"/>
    <w:basedOn w:val="Standardnpsmoodstavce"/>
    <w:link w:val="Textbubliny"/>
    <w:rsid w:val="007443F1"/>
    <w:rPr>
      <w:rFonts w:ascii="Tahoma" w:hAnsi="Tahoma" w:cs="Tahoma"/>
      <w:sz w:val="16"/>
      <w:szCs w:val="16"/>
    </w:rPr>
  </w:style>
  <w:style w:type="paragraph" w:styleId="Bezmezer">
    <w:name w:val="No Spacing"/>
    <w:uiPriority w:val="99"/>
    <w:qFormat/>
    <w:rsid w:val="007443F1"/>
    <w:rPr>
      <w:sz w:val="24"/>
      <w:szCs w:val="24"/>
    </w:rPr>
  </w:style>
  <w:style w:type="paragraph" w:customStyle="1" w:styleId="vec">
    <w:name w:val="vec"/>
    <w:rsid w:val="005C21A4"/>
    <w:pPr>
      <w:suppressAutoHyphens/>
    </w:pPr>
    <w:rPr>
      <w:rFonts w:ascii="Arial" w:hAnsi="Arial" w:cs="Arial"/>
      <w:sz w:val="24"/>
      <w:lang w:eastAsia="zh-CN"/>
    </w:rPr>
  </w:style>
  <w:style w:type="paragraph" w:customStyle="1" w:styleId="Styl1">
    <w:name w:val="Styl1"/>
    <w:basedOn w:val="Normln"/>
    <w:rsid w:val="006F1919"/>
    <w:rPr>
      <w:rFonts w:ascii="Times New Roman" w:hAnsi="Times New Roman"/>
      <w:sz w:val="24"/>
      <w:szCs w:val="20"/>
    </w:rPr>
  </w:style>
  <w:style w:type="paragraph" w:styleId="Zkladntext2">
    <w:name w:val="Body Text 2"/>
    <w:basedOn w:val="Normln"/>
    <w:link w:val="Zkladntext2Char"/>
    <w:rsid w:val="00694BED"/>
    <w:pPr>
      <w:spacing w:after="120" w:line="480" w:lineRule="auto"/>
    </w:pPr>
  </w:style>
  <w:style w:type="character" w:customStyle="1" w:styleId="Zkladntext2Char">
    <w:name w:val="Základní text 2 Char"/>
    <w:basedOn w:val="Standardnpsmoodstavce"/>
    <w:link w:val="Zkladntext2"/>
    <w:rsid w:val="00694BED"/>
    <w:rPr>
      <w:rFonts w:ascii="Arial" w:hAnsi="Arial"/>
      <w:sz w:val="22"/>
      <w:szCs w:val="24"/>
    </w:rPr>
  </w:style>
  <w:style w:type="character" w:customStyle="1" w:styleId="Nadpis7Char">
    <w:name w:val="Nadpis 7 Char"/>
    <w:basedOn w:val="Standardnpsmoodstavce"/>
    <w:link w:val="Nadpis7"/>
    <w:uiPriority w:val="9"/>
    <w:rsid w:val="00694BED"/>
    <w:rPr>
      <w:rFonts w:asciiTheme="majorHAnsi" w:eastAsiaTheme="majorEastAsia" w:hAnsiTheme="majorHAnsi" w:cstheme="majorBidi"/>
      <w:i/>
      <w:iCs/>
      <w:color w:val="404040" w:themeColor="text1" w:themeTint="BF"/>
    </w:rPr>
  </w:style>
  <w:style w:type="character" w:styleId="Hypertextovodkaz">
    <w:name w:val="Hyperlink"/>
    <w:basedOn w:val="Standardnpsmoodstavce"/>
    <w:rsid w:val="00FC4676"/>
    <w:rPr>
      <w:color w:val="0000FF" w:themeColor="hyperlink"/>
      <w:u w:val="single"/>
    </w:rPr>
  </w:style>
  <w:style w:type="table" w:styleId="Stednstnovn2zvraznn6">
    <w:name w:val="Medium Shading 2 Accent 6"/>
    <w:basedOn w:val="Normlntabulka"/>
    <w:uiPriority w:val="64"/>
    <w:rsid w:val="00A66F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rsid w:val="004B0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6">
    <w:name w:val="Medium Grid 3 Accent 6"/>
    <w:basedOn w:val="Normlntabulka"/>
    <w:uiPriority w:val="69"/>
    <w:rsid w:val="00701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mka3zvraznn5">
    <w:name w:val="Medium Grid 3 Accent 5"/>
    <w:basedOn w:val="Normlntabulka"/>
    <w:uiPriority w:val="69"/>
    <w:rsid w:val="00701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4">
    <w:name w:val="Medium Grid 3 Accent 4"/>
    <w:basedOn w:val="Normlntabulka"/>
    <w:uiPriority w:val="69"/>
    <w:rsid w:val="002C03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D708D"/>
    <w:pPr>
      <w:jc w:val="both"/>
    </w:pPr>
    <w:rPr>
      <w:rFonts w:ascii="Arial" w:hAnsi="Arial"/>
      <w:sz w:val="22"/>
      <w:szCs w:val="24"/>
    </w:rPr>
  </w:style>
  <w:style w:type="paragraph" w:styleId="Nadpis7">
    <w:name w:val="heading 7"/>
    <w:basedOn w:val="Normln"/>
    <w:next w:val="Normln"/>
    <w:link w:val="Nadpis7Char"/>
    <w:uiPriority w:val="9"/>
    <w:unhideWhenUsed/>
    <w:qFormat/>
    <w:rsid w:val="00694BED"/>
    <w:pPr>
      <w:keepNext/>
      <w:keepLines/>
      <w:spacing w:before="200"/>
      <w:jc w:val="left"/>
      <w:outlineLvl w:val="6"/>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D708D"/>
    <w:pPr>
      <w:tabs>
        <w:tab w:val="center" w:pos="4536"/>
        <w:tab w:val="right" w:pos="9072"/>
      </w:tabs>
    </w:pPr>
  </w:style>
  <w:style w:type="character" w:customStyle="1" w:styleId="ZhlavChar">
    <w:name w:val="Záhlaví Char"/>
    <w:basedOn w:val="Standardnpsmoodstavce"/>
    <w:link w:val="Zhlav"/>
    <w:uiPriority w:val="99"/>
    <w:rsid w:val="006D708D"/>
    <w:rPr>
      <w:rFonts w:ascii="Arial" w:hAnsi="Arial"/>
      <w:sz w:val="22"/>
      <w:szCs w:val="24"/>
    </w:rPr>
  </w:style>
  <w:style w:type="paragraph" w:styleId="Zkladntext3">
    <w:name w:val="Body Text 3"/>
    <w:basedOn w:val="Normln"/>
    <w:link w:val="Zkladntext3Char"/>
    <w:rsid w:val="006D708D"/>
    <w:rPr>
      <w:rFonts w:ascii="Times New Roman" w:hAnsi="Times New Roman"/>
      <w:sz w:val="24"/>
    </w:rPr>
  </w:style>
  <w:style w:type="character" w:customStyle="1" w:styleId="Zkladntext3Char">
    <w:name w:val="Základní text 3 Char"/>
    <w:basedOn w:val="Standardnpsmoodstavce"/>
    <w:link w:val="Zkladntext3"/>
    <w:rsid w:val="006D708D"/>
    <w:rPr>
      <w:sz w:val="24"/>
      <w:szCs w:val="24"/>
    </w:rPr>
  </w:style>
  <w:style w:type="paragraph" w:styleId="Podtitul">
    <w:name w:val="Subtitle"/>
    <w:basedOn w:val="Zkladntext"/>
    <w:link w:val="PodtitulChar"/>
    <w:qFormat/>
    <w:rsid w:val="006D708D"/>
    <w:pPr>
      <w:spacing w:before="40" w:after="60"/>
      <w:jc w:val="center"/>
    </w:pPr>
    <w:rPr>
      <w:i/>
      <w:szCs w:val="20"/>
    </w:rPr>
  </w:style>
  <w:style w:type="character" w:customStyle="1" w:styleId="PodtitulChar">
    <w:name w:val="Podtitul Char"/>
    <w:basedOn w:val="Standardnpsmoodstavce"/>
    <w:link w:val="Podtitul"/>
    <w:rsid w:val="006D708D"/>
    <w:rPr>
      <w:rFonts w:ascii="Arial" w:hAnsi="Arial"/>
      <w:i/>
      <w:sz w:val="22"/>
    </w:rPr>
  </w:style>
  <w:style w:type="paragraph" w:styleId="Nzev">
    <w:name w:val="Title"/>
    <w:basedOn w:val="Zkladntext"/>
    <w:link w:val="NzevChar"/>
    <w:qFormat/>
    <w:rsid w:val="006D708D"/>
    <w:pPr>
      <w:spacing w:before="240" w:after="60"/>
      <w:jc w:val="center"/>
    </w:pPr>
    <w:rPr>
      <w:b/>
      <w:kern w:val="28"/>
      <w:sz w:val="32"/>
      <w:szCs w:val="20"/>
    </w:rPr>
  </w:style>
  <w:style w:type="character" w:customStyle="1" w:styleId="NzevChar">
    <w:name w:val="Název Char"/>
    <w:basedOn w:val="Standardnpsmoodstavce"/>
    <w:link w:val="Nzev"/>
    <w:rsid w:val="006D708D"/>
    <w:rPr>
      <w:rFonts w:ascii="Arial" w:hAnsi="Arial"/>
      <w:b/>
      <w:kern w:val="28"/>
      <w:sz w:val="32"/>
    </w:rPr>
  </w:style>
  <w:style w:type="paragraph" w:styleId="Zkladntext">
    <w:name w:val="Body Text"/>
    <w:basedOn w:val="Normln"/>
    <w:link w:val="ZkladntextChar"/>
    <w:rsid w:val="006D708D"/>
    <w:pPr>
      <w:spacing w:after="120"/>
    </w:pPr>
  </w:style>
  <w:style w:type="character" w:customStyle="1" w:styleId="ZkladntextChar">
    <w:name w:val="Základní text Char"/>
    <w:basedOn w:val="Standardnpsmoodstavce"/>
    <w:link w:val="Zkladntext"/>
    <w:rsid w:val="006D708D"/>
    <w:rPr>
      <w:rFonts w:ascii="Arial" w:hAnsi="Arial"/>
      <w:sz w:val="22"/>
      <w:szCs w:val="24"/>
    </w:rPr>
  </w:style>
  <w:style w:type="paragraph" w:styleId="Zpat">
    <w:name w:val="footer"/>
    <w:basedOn w:val="Normln"/>
    <w:link w:val="ZpatChar"/>
    <w:uiPriority w:val="99"/>
    <w:rsid w:val="006D708D"/>
    <w:pPr>
      <w:tabs>
        <w:tab w:val="center" w:pos="4536"/>
        <w:tab w:val="right" w:pos="9072"/>
      </w:tabs>
    </w:pPr>
  </w:style>
  <w:style w:type="character" w:customStyle="1" w:styleId="ZpatChar">
    <w:name w:val="Zápatí Char"/>
    <w:basedOn w:val="Standardnpsmoodstavce"/>
    <w:link w:val="Zpat"/>
    <w:uiPriority w:val="99"/>
    <w:rsid w:val="006D708D"/>
    <w:rPr>
      <w:rFonts w:ascii="Arial" w:hAnsi="Arial"/>
      <w:sz w:val="22"/>
      <w:szCs w:val="24"/>
    </w:rPr>
  </w:style>
  <w:style w:type="paragraph" w:customStyle="1" w:styleId="Import6">
    <w:name w:val="Import 6"/>
    <w:basedOn w:val="Normln"/>
    <w:rsid w:val="007443F1"/>
    <w:pPr>
      <w:widowControl w:val="0"/>
      <w:tabs>
        <w:tab w:val="bar" w:pos="0"/>
        <w:tab w:val="bar" w:pos="163"/>
        <w:tab w:val="decimal" w:pos="28628"/>
      </w:tabs>
      <w:ind w:left="576"/>
      <w:jc w:val="left"/>
    </w:pPr>
    <w:rPr>
      <w:rFonts w:ascii="Courier New" w:hAnsi="Courier New" w:cs="Courier New"/>
      <w:noProof/>
      <w:color w:val="000000"/>
      <w:sz w:val="24"/>
    </w:rPr>
  </w:style>
  <w:style w:type="paragraph" w:styleId="Odstavecseseznamem">
    <w:name w:val="List Paragraph"/>
    <w:basedOn w:val="Normln"/>
    <w:uiPriority w:val="34"/>
    <w:qFormat/>
    <w:rsid w:val="007443F1"/>
    <w:pPr>
      <w:ind w:left="708"/>
      <w:jc w:val="left"/>
    </w:pPr>
    <w:rPr>
      <w:rFonts w:ascii="Times New Roman" w:hAnsi="Times New Roman"/>
      <w:sz w:val="24"/>
    </w:rPr>
  </w:style>
  <w:style w:type="paragraph" w:customStyle="1" w:styleId="Zkladntext21">
    <w:name w:val="Základní text 21"/>
    <w:basedOn w:val="Normln"/>
    <w:rsid w:val="007443F1"/>
    <w:pPr>
      <w:suppressAutoHyphens/>
      <w:ind w:right="141"/>
      <w:jc w:val="center"/>
    </w:pPr>
    <w:rPr>
      <w:rFonts w:ascii="Times New Roman" w:hAnsi="Times New Roman"/>
      <w:b/>
      <w:i/>
      <w:sz w:val="24"/>
      <w:szCs w:val="20"/>
      <w:lang w:eastAsia="ar-SA"/>
    </w:rPr>
  </w:style>
  <w:style w:type="paragraph" w:styleId="Textbubliny">
    <w:name w:val="Balloon Text"/>
    <w:basedOn w:val="Normln"/>
    <w:link w:val="TextbublinyChar"/>
    <w:rsid w:val="007443F1"/>
    <w:rPr>
      <w:rFonts w:ascii="Tahoma" w:hAnsi="Tahoma" w:cs="Tahoma"/>
      <w:sz w:val="16"/>
      <w:szCs w:val="16"/>
    </w:rPr>
  </w:style>
  <w:style w:type="character" w:customStyle="1" w:styleId="TextbublinyChar">
    <w:name w:val="Text bubliny Char"/>
    <w:basedOn w:val="Standardnpsmoodstavce"/>
    <w:link w:val="Textbubliny"/>
    <w:rsid w:val="007443F1"/>
    <w:rPr>
      <w:rFonts w:ascii="Tahoma" w:hAnsi="Tahoma" w:cs="Tahoma"/>
      <w:sz w:val="16"/>
      <w:szCs w:val="16"/>
    </w:rPr>
  </w:style>
  <w:style w:type="paragraph" w:styleId="Bezmezer">
    <w:name w:val="No Spacing"/>
    <w:uiPriority w:val="99"/>
    <w:qFormat/>
    <w:rsid w:val="007443F1"/>
    <w:rPr>
      <w:sz w:val="24"/>
      <w:szCs w:val="24"/>
    </w:rPr>
  </w:style>
  <w:style w:type="paragraph" w:customStyle="1" w:styleId="vec">
    <w:name w:val="vec"/>
    <w:rsid w:val="005C21A4"/>
    <w:pPr>
      <w:suppressAutoHyphens/>
    </w:pPr>
    <w:rPr>
      <w:rFonts w:ascii="Arial" w:hAnsi="Arial" w:cs="Arial"/>
      <w:sz w:val="24"/>
      <w:lang w:eastAsia="zh-CN"/>
    </w:rPr>
  </w:style>
  <w:style w:type="paragraph" w:customStyle="1" w:styleId="Styl1">
    <w:name w:val="Styl1"/>
    <w:basedOn w:val="Normln"/>
    <w:rsid w:val="006F1919"/>
    <w:rPr>
      <w:rFonts w:ascii="Times New Roman" w:hAnsi="Times New Roman"/>
      <w:sz w:val="24"/>
      <w:szCs w:val="20"/>
    </w:rPr>
  </w:style>
  <w:style w:type="paragraph" w:styleId="Zkladntext2">
    <w:name w:val="Body Text 2"/>
    <w:basedOn w:val="Normln"/>
    <w:link w:val="Zkladntext2Char"/>
    <w:rsid w:val="00694BED"/>
    <w:pPr>
      <w:spacing w:after="120" w:line="480" w:lineRule="auto"/>
    </w:pPr>
  </w:style>
  <w:style w:type="character" w:customStyle="1" w:styleId="Zkladntext2Char">
    <w:name w:val="Základní text 2 Char"/>
    <w:basedOn w:val="Standardnpsmoodstavce"/>
    <w:link w:val="Zkladntext2"/>
    <w:rsid w:val="00694BED"/>
    <w:rPr>
      <w:rFonts w:ascii="Arial" w:hAnsi="Arial"/>
      <w:sz w:val="22"/>
      <w:szCs w:val="24"/>
    </w:rPr>
  </w:style>
  <w:style w:type="character" w:customStyle="1" w:styleId="Nadpis7Char">
    <w:name w:val="Nadpis 7 Char"/>
    <w:basedOn w:val="Standardnpsmoodstavce"/>
    <w:link w:val="Nadpis7"/>
    <w:uiPriority w:val="9"/>
    <w:rsid w:val="00694BED"/>
    <w:rPr>
      <w:rFonts w:asciiTheme="majorHAnsi" w:eastAsiaTheme="majorEastAsia" w:hAnsiTheme="majorHAnsi" w:cstheme="majorBidi"/>
      <w:i/>
      <w:iCs/>
      <w:color w:val="404040" w:themeColor="text1" w:themeTint="BF"/>
    </w:rPr>
  </w:style>
  <w:style w:type="character" w:styleId="Hypertextovodkaz">
    <w:name w:val="Hyperlink"/>
    <w:basedOn w:val="Standardnpsmoodstavce"/>
    <w:rsid w:val="00FC4676"/>
    <w:rPr>
      <w:color w:val="0000FF" w:themeColor="hyperlink"/>
      <w:u w:val="single"/>
    </w:rPr>
  </w:style>
  <w:style w:type="table" w:styleId="Stednstnovn2zvraznn6">
    <w:name w:val="Medium Shading 2 Accent 6"/>
    <w:basedOn w:val="Normlntabulka"/>
    <w:uiPriority w:val="64"/>
    <w:rsid w:val="00A66F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rsid w:val="004B0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6">
    <w:name w:val="Medium Grid 3 Accent 6"/>
    <w:basedOn w:val="Normlntabulka"/>
    <w:uiPriority w:val="69"/>
    <w:rsid w:val="00701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mka3zvraznn5">
    <w:name w:val="Medium Grid 3 Accent 5"/>
    <w:basedOn w:val="Normlntabulka"/>
    <w:uiPriority w:val="69"/>
    <w:rsid w:val="00701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4">
    <w:name w:val="Medium Grid 3 Accent 4"/>
    <w:basedOn w:val="Normlntabulka"/>
    <w:uiPriority w:val="69"/>
    <w:rsid w:val="002C03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6993">
      <w:bodyDiv w:val="1"/>
      <w:marLeft w:val="0"/>
      <w:marRight w:val="0"/>
      <w:marTop w:val="0"/>
      <w:marBottom w:val="0"/>
      <w:divBdr>
        <w:top w:val="none" w:sz="0" w:space="0" w:color="auto"/>
        <w:left w:val="none" w:sz="0" w:space="0" w:color="auto"/>
        <w:bottom w:val="none" w:sz="0" w:space="0" w:color="auto"/>
        <w:right w:val="none" w:sz="0" w:space="0" w:color="auto"/>
      </w:divBdr>
    </w:div>
    <w:div w:id="16517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hyperlink" Target="http://www.mzcr.cz/Verejne/dokumenty/vyhodnoceni-cileneho-ukolu-zamereneho-na-pestrost-stravy-ve-zdravotnickych-zariz_10280_1206_5.htm"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z/url?sa=i&amp;rct=j&amp;q=&amp;esrc=s&amp;source=images&amp;cd=&amp;cad=rja&amp;uact=8&amp;ved=0ahUKEwjDkZvj_cTLAhXCDZoKHQoDCEQQjRwIBw&amp;url=http://thiemt.com/laboratory/laboratory-equipment&amp;bvm=bv.116954456,d.bGQ&amp;psig=AFQjCNG-x9ThODs2w13wfRkPYZWHFS0Wqg&amp;ust=1458210004553195" TargetMode="External"/><Relationship Id="rId22" Type="http://schemas.openxmlformats.org/officeDocument/2006/relationships/footer" Target="footer1.xml"/><Relationship Id="rId27"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F:\nutrice\sumarizace%20v&#253;sledk&#36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nutrice\sumarizace%20v&#253;sledk&#3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nutrice\sumarizace%20v&#253;sledk&#36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nutrice\sumarizace%20v&#253;sledk&#36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nutrice\sumarizace%20v&#253;sledk&#36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nutrice\sumarizace%20v&#253;sledk&#36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nutrice\sumarizace%20v&#253;sledk&#36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nutrice\sumarizace%20v&#253;sledk&#36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nutrice\sumarizace%20v&#253;sledk&#36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nutrice\sumarizace%20v&#253;sledk&#3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b="0">
              <a:latin typeface="Arial" panose="020B0604020202020204" pitchFamily="34" charset="0"/>
              <a:cs typeface="Arial" panose="020B0604020202020204" pitchFamily="34" charset="0"/>
            </a:defRPr>
          </a:pPr>
          <a:endParaRPr lang="cs-CZ"/>
        </a:p>
      </c:txPr>
    </c:title>
    <c:autoTitleDeleted val="0"/>
    <c:plotArea>
      <c:layout/>
      <c:barChart>
        <c:barDir val="col"/>
        <c:grouping val="clustered"/>
        <c:varyColors val="0"/>
        <c:ser>
          <c:idx val="0"/>
          <c:order val="0"/>
          <c:tx>
            <c:strRef>
              <c:f>List1!$B$1</c:f>
              <c:strCache>
                <c:ptCount val="1"/>
                <c:pt idx="0">
                  <c:v>energetická hodnota (%)</c:v>
                </c:pt>
              </c:strCache>
            </c:strRef>
          </c:tx>
          <c:invertIfNegative val="0"/>
          <c:val>
            <c:numRef>
              <c:f>List1!$B$2:$B$17</c:f>
              <c:numCache>
                <c:formatCode>General</c:formatCode>
                <c:ptCount val="16"/>
                <c:pt idx="0">
                  <c:v>76</c:v>
                </c:pt>
                <c:pt idx="1">
                  <c:v>66</c:v>
                </c:pt>
                <c:pt idx="2">
                  <c:v>108</c:v>
                </c:pt>
                <c:pt idx="3">
                  <c:v>61</c:v>
                </c:pt>
                <c:pt idx="4">
                  <c:v>82</c:v>
                </c:pt>
                <c:pt idx="5">
                  <c:v>74</c:v>
                </c:pt>
                <c:pt idx="6">
                  <c:v>89</c:v>
                </c:pt>
                <c:pt idx="7">
                  <c:v>93</c:v>
                </c:pt>
                <c:pt idx="8">
                  <c:v>73</c:v>
                </c:pt>
                <c:pt idx="9">
                  <c:v>80</c:v>
                </c:pt>
                <c:pt idx="10">
                  <c:v>106</c:v>
                </c:pt>
                <c:pt idx="11">
                  <c:v>95</c:v>
                </c:pt>
                <c:pt idx="12">
                  <c:v>74</c:v>
                </c:pt>
                <c:pt idx="13">
                  <c:v>90</c:v>
                </c:pt>
                <c:pt idx="14">
                  <c:v>78</c:v>
                </c:pt>
                <c:pt idx="15">
                  <c:v>78</c:v>
                </c:pt>
              </c:numCache>
            </c:numRef>
          </c:val>
        </c:ser>
        <c:dLbls>
          <c:showLegendKey val="0"/>
          <c:showVal val="0"/>
          <c:showCatName val="0"/>
          <c:showSerName val="0"/>
          <c:showPercent val="0"/>
          <c:showBubbleSize val="0"/>
        </c:dLbls>
        <c:gapWidth val="150"/>
        <c:axId val="79164544"/>
        <c:axId val="138085120"/>
      </c:barChart>
      <c:catAx>
        <c:axId val="79164544"/>
        <c:scaling>
          <c:orientation val="minMax"/>
        </c:scaling>
        <c:delete val="0"/>
        <c:axPos val="b"/>
        <c:majorTickMark val="out"/>
        <c:minorTickMark val="none"/>
        <c:tickLblPos val="nextTo"/>
        <c:crossAx val="138085120"/>
        <c:crosses val="autoZero"/>
        <c:auto val="1"/>
        <c:lblAlgn val="ctr"/>
        <c:lblOffset val="100"/>
        <c:noMultiLvlLbl val="0"/>
      </c:catAx>
      <c:valAx>
        <c:axId val="138085120"/>
        <c:scaling>
          <c:orientation val="minMax"/>
        </c:scaling>
        <c:delete val="0"/>
        <c:axPos val="l"/>
        <c:majorGridlines/>
        <c:numFmt formatCode="General" sourceLinked="1"/>
        <c:majorTickMark val="out"/>
        <c:minorTickMark val="none"/>
        <c:tickLblPos val="nextTo"/>
        <c:crossAx val="7916454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100" b="0">
                <a:latin typeface="Arial" panose="020B0604020202020204" pitchFamily="34" charset="0"/>
                <a:cs typeface="Arial" panose="020B0604020202020204" pitchFamily="34" charset="0"/>
              </a:defRPr>
            </a:pPr>
            <a:r>
              <a:rPr lang="en-US" b="0"/>
              <a:t>vláknina (%)</a:t>
            </a:r>
          </a:p>
        </c:rich>
      </c:tx>
      <c:layout/>
      <c:overlay val="0"/>
    </c:title>
    <c:autoTitleDeleted val="0"/>
    <c:plotArea>
      <c:layout/>
      <c:barChart>
        <c:barDir val="col"/>
        <c:grouping val="clustered"/>
        <c:varyColors val="0"/>
        <c:ser>
          <c:idx val="0"/>
          <c:order val="0"/>
          <c:tx>
            <c:strRef>
              <c:f>List1!$D$25</c:f>
              <c:strCache>
                <c:ptCount val="1"/>
                <c:pt idx="0">
                  <c:v>vláknina (%)</c:v>
                </c:pt>
              </c:strCache>
            </c:strRef>
          </c:tx>
          <c:invertIfNegative val="0"/>
          <c:val>
            <c:numRef>
              <c:f>List1!$D$26:$D$49</c:f>
              <c:numCache>
                <c:formatCode>General</c:formatCode>
                <c:ptCount val="24"/>
                <c:pt idx="0">
                  <c:v>84</c:v>
                </c:pt>
                <c:pt idx="1">
                  <c:v>87</c:v>
                </c:pt>
                <c:pt idx="2">
                  <c:v>78</c:v>
                </c:pt>
                <c:pt idx="3">
                  <c:v>80</c:v>
                </c:pt>
                <c:pt idx="4">
                  <c:v>81</c:v>
                </c:pt>
                <c:pt idx="5">
                  <c:v>72</c:v>
                </c:pt>
                <c:pt idx="6">
                  <c:v>97</c:v>
                </c:pt>
                <c:pt idx="7">
                  <c:v>65</c:v>
                </c:pt>
                <c:pt idx="8">
                  <c:v>60</c:v>
                </c:pt>
                <c:pt idx="9">
                  <c:v>82</c:v>
                </c:pt>
                <c:pt idx="10">
                  <c:v>59</c:v>
                </c:pt>
                <c:pt idx="11">
                  <c:v>72</c:v>
                </c:pt>
                <c:pt idx="12">
                  <c:v>96</c:v>
                </c:pt>
                <c:pt idx="13">
                  <c:v>99</c:v>
                </c:pt>
                <c:pt idx="14">
                  <c:v>71</c:v>
                </c:pt>
                <c:pt idx="15">
                  <c:v>73</c:v>
                </c:pt>
                <c:pt idx="16">
                  <c:v>73</c:v>
                </c:pt>
                <c:pt idx="17">
                  <c:v>85</c:v>
                </c:pt>
                <c:pt idx="18">
                  <c:v>91</c:v>
                </c:pt>
                <c:pt idx="19">
                  <c:v>64</c:v>
                </c:pt>
                <c:pt idx="20">
                  <c:v>63</c:v>
                </c:pt>
                <c:pt idx="21">
                  <c:v>100</c:v>
                </c:pt>
                <c:pt idx="22">
                  <c:v>93</c:v>
                </c:pt>
                <c:pt idx="23">
                  <c:v>81</c:v>
                </c:pt>
              </c:numCache>
            </c:numRef>
          </c:val>
        </c:ser>
        <c:dLbls>
          <c:showLegendKey val="0"/>
          <c:showVal val="0"/>
          <c:showCatName val="0"/>
          <c:showSerName val="0"/>
          <c:showPercent val="0"/>
          <c:showBubbleSize val="0"/>
        </c:dLbls>
        <c:gapWidth val="150"/>
        <c:axId val="71833088"/>
        <c:axId val="71834624"/>
      </c:barChart>
      <c:catAx>
        <c:axId val="71833088"/>
        <c:scaling>
          <c:orientation val="minMax"/>
        </c:scaling>
        <c:delete val="0"/>
        <c:axPos val="b"/>
        <c:majorTickMark val="out"/>
        <c:minorTickMark val="none"/>
        <c:tickLblPos val="nextTo"/>
        <c:crossAx val="71834624"/>
        <c:crosses val="autoZero"/>
        <c:auto val="1"/>
        <c:lblAlgn val="ctr"/>
        <c:lblOffset val="100"/>
        <c:noMultiLvlLbl val="0"/>
      </c:catAx>
      <c:valAx>
        <c:axId val="71834624"/>
        <c:scaling>
          <c:orientation val="minMax"/>
        </c:scaling>
        <c:delete val="0"/>
        <c:axPos val="l"/>
        <c:majorGridlines/>
        <c:numFmt formatCode="General" sourceLinked="1"/>
        <c:majorTickMark val="out"/>
        <c:minorTickMark val="none"/>
        <c:tickLblPos val="nextTo"/>
        <c:crossAx val="718330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627158615549272E-2"/>
          <c:y val="3.9506218498790595E-2"/>
          <c:w val="0.73925481494890366"/>
          <c:h val="0.87135220583064288"/>
        </c:manualLayout>
      </c:layout>
      <c:barChart>
        <c:barDir val="col"/>
        <c:grouping val="clustered"/>
        <c:varyColors val="0"/>
        <c:ser>
          <c:idx val="0"/>
          <c:order val="0"/>
          <c:tx>
            <c:strRef>
              <c:f>List1!$B$1</c:f>
              <c:strCache>
                <c:ptCount val="1"/>
                <c:pt idx="0">
                  <c:v>energetická hodnota (%)</c:v>
                </c:pt>
              </c:strCache>
            </c:strRef>
          </c:tx>
          <c:invertIfNegative val="0"/>
          <c:val>
            <c:numRef>
              <c:f>List1!$B$2:$B$17</c:f>
              <c:numCache>
                <c:formatCode>General</c:formatCode>
                <c:ptCount val="16"/>
                <c:pt idx="0">
                  <c:v>76</c:v>
                </c:pt>
                <c:pt idx="1">
                  <c:v>66</c:v>
                </c:pt>
                <c:pt idx="2">
                  <c:v>108</c:v>
                </c:pt>
                <c:pt idx="3">
                  <c:v>61</c:v>
                </c:pt>
                <c:pt idx="4">
                  <c:v>82</c:v>
                </c:pt>
                <c:pt idx="5">
                  <c:v>74</c:v>
                </c:pt>
                <c:pt idx="6">
                  <c:v>89</c:v>
                </c:pt>
                <c:pt idx="7">
                  <c:v>93</c:v>
                </c:pt>
                <c:pt idx="8">
                  <c:v>73</c:v>
                </c:pt>
                <c:pt idx="9">
                  <c:v>80</c:v>
                </c:pt>
                <c:pt idx="10">
                  <c:v>106</c:v>
                </c:pt>
                <c:pt idx="11">
                  <c:v>95</c:v>
                </c:pt>
                <c:pt idx="12">
                  <c:v>74</c:v>
                </c:pt>
                <c:pt idx="13">
                  <c:v>90</c:v>
                </c:pt>
                <c:pt idx="14">
                  <c:v>78</c:v>
                </c:pt>
                <c:pt idx="15">
                  <c:v>78</c:v>
                </c:pt>
              </c:numCache>
            </c:numRef>
          </c:val>
        </c:ser>
        <c:ser>
          <c:idx val="1"/>
          <c:order val="1"/>
          <c:tx>
            <c:strRef>
              <c:f>List1!$C$1</c:f>
              <c:strCache>
                <c:ptCount val="1"/>
                <c:pt idx="0">
                  <c:v>sůl (%)</c:v>
                </c:pt>
              </c:strCache>
            </c:strRef>
          </c:tx>
          <c:invertIfNegative val="0"/>
          <c:val>
            <c:numRef>
              <c:f>List1!$C$2:$C$17</c:f>
              <c:numCache>
                <c:formatCode>General</c:formatCode>
                <c:ptCount val="16"/>
                <c:pt idx="0">
                  <c:v>258</c:v>
                </c:pt>
                <c:pt idx="1">
                  <c:v>163</c:v>
                </c:pt>
                <c:pt idx="2">
                  <c:v>223</c:v>
                </c:pt>
                <c:pt idx="3">
                  <c:v>140</c:v>
                </c:pt>
                <c:pt idx="4">
                  <c:v>150</c:v>
                </c:pt>
                <c:pt idx="5">
                  <c:v>185</c:v>
                </c:pt>
                <c:pt idx="6">
                  <c:v>317</c:v>
                </c:pt>
                <c:pt idx="7">
                  <c:v>302</c:v>
                </c:pt>
                <c:pt idx="8">
                  <c:v>185</c:v>
                </c:pt>
                <c:pt idx="9">
                  <c:v>297</c:v>
                </c:pt>
                <c:pt idx="10">
                  <c:v>308</c:v>
                </c:pt>
                <c:pt idx="11">
                  <c:v>255</c:v>
                </c:pt>
                <c:pt idx="12">
                  <c:v>262</c:v>
                </c:pt>
                <c:pt idx="13">
                  <c:v>285</c:v>
                </c:pt>
                <c:pt idx="14">
                  <c:v>293</c:v>
                </c:pt>
                <c:pt idx="15">
                  <c:v>250</c:v>
                </c:pt>
              </c:numCache>
            </c:numRef>
          </c:val>
        </c:ser>
        <c:ser>
          <c:idx val="2"/>
          <c:order val="2"/>
          <c:tx>
            <c:strRef>
              <c:f>List1!$D$1</c:f>
              <c:strCache>
                <c:ptCount val="1"/>
                <c:pt idx="0">
                  <c:v>vláknina (%)</c:v>
                </c:pt>
              </c:strCache>
            </c:strRef>
          </c:tx>
          <c:invertIfNegative val="0"/>
          <c:val>
            <c:numRef>
              <c:f>List1!$D$2:$D$17</c:f>
              <c:numCache>
                <c:formatCode>General</c:formatCode>
                <c:ptCount val="16"/>
                <c:pt idx="0">
                  <c:v>89</c:v>
                </c:pt>
                <c:pt idx="1">
                  <c:v>100</c:v>
                </c:pt>
                <c:pt idx="2">
                  <c:v>137</c:v>
                </c:pt>
                <c:pt idx="3">
                  <c:v>74</c:v>
                </c:pt>
                <c:pt idx="4">
                  <c:v>94</c:v>
                </c:pt>
                <c:pt idx="5">
                  <c:v>85</c:v>
                </c:pt>
                <c:pt idx="6">
                  <c:v>102</c:v>
                </c:pt>
                <c:pt idx="7">
                  <c:v>101</c:v>
                </c:pt>
                <c:pt idx="8">
                  <c:v>50</c:v>
                </c:pt>
                <c:pt idx="9">
                  <c:v>92</c:v>
                </c:pt>
                <c:pt idx="10">
                  <c:v>91</c:v>
                </c:pt>
                <c:pt idx="11">
                  <c:v>120</c:v>
                </c:pt>
                <c:pt idx="12">
                  <c:v>69</c:v>
                </c:pt>
                <c:pt idx="13">
                  <c:v>85</c:v>
                </c:pt>
                <c:pt idx="14">
                  <c:v>91</c:v>
                </c:pt>
                <c:pt idx="15">
                  <c:v>88</c:v>
                </c:pt>
              </c:numCache>
            </c:numRef>
          </c:val>
        </c:ser>
        <c:ser>
          <c:idx val="3"/>
          <c:order val="3"/>
          <c:tx>
            <c:strRef>
              <c:f>List1!$E$1</c:f>
              <c:strCache>
                <c:ptCount val="1"/>
                <c:pt idx="0">
                  <c:v>bílkoviny (%)</c:v>
                </c:pt>
              </c:strCache>
            </c:strRef>
          </c:tx>
          <c:invertIfNegative val="0"/>
          <c:val>
            <c:numRef>
              <c:f>List1!$E$2:$E$17</c:f>
              <c:numCache>
                <c:formatCode>General</c:formatCode>
                <c:ptCount val="16"/>
                <c:pt idx="0">
                  <c:v>132</c:v>
                </c:pt>
                <c:pt idx="1">
                  <c:v>121</c:v>
                </c:pt>
                <c:pt idx="2">
                  <c:v>187</c:v>
                </c:pt>
                <c:pt idx="3">
                  <c:v>98</c:v>
                </c:pt>
                <c:pt idx="4">
                  <c:v>135</c:v>
                </c:pt>
                <c:pt idx="5">
                  <c:v>137</c:v>
                </c:pt>
                <c:pt idx="6">
                  <c:v>172</c:v>
                </c:pt>
                <c:pt idx="7">
                  <c:v>156</c:v>
                </c:pt>
                <c:pt idx="8">
                  <c:v>119</c:v>
                </c:pt>
                <c:pt idx="9">
                  <c:v>161</c:v>
                </c:pt>
                <c:pt idx="10">
                  <c:v>172</c:v>
                </c:pt>
                <c:pt idx="11">
                  <c:v>174</c:v>
                </c:pt>
                <c:pt idx="12">
                  <c:v>136</c:v>
                </c:pt>
                <c:pt idx="13">
                  <c:v>161</c:v>
                </c:pt>
                <c:pt idx="14">
                  <c:v>156</c:v>
                </c:pt>
                <c:pt idx="15">
                  <c:v>141</c:v>
                </c:pt>
              </c:numCache>
            </c:numRef>
          </c:val>
        </c:ser>
        <c:ser>
          <c:idx val="4"/>
          <c:order val="4"/>
          <c:tx>
            <c:strRef>
              <c:f>List1!$F$1</c:f>
              <c:strCache>
                <c:ptCount val="1"/>
                <c:pt idx="0">
                  <c:v>tuky (%)</c:v>
                </c:pt>
              </c:strCache>
            </c:strRef>
          </c:tx>
          <c:invertIfNegative val="0"/>
          <c:val>
            <c:numRef>
              <c:f>List1!$F$2:$F$17</c:f>
              <c:numCache>
                <c:formatCode>General</c:formatCode>
                <c:ptCount val="16"/>
                <c:pt idx="0">
                  <c:v>69</c:v>
                </c:pt>
                <c:pt idx="1">
                  <c:v>43</c:v>
                </c:pt>
                <c:pt idx="2">
                  <c:v>61</c:v>
                </c:pt>
                <c:pt idx="3">
                  <c:v>50</c:v>
                </c:pt>
                <c:pt idx="4">
                  <c:v>63</c:v>
                </c:pt>
                <c:pt idx="5">
                  <c:v>49</c:v>
                </c:pt>
                <c:pt idx="6">
                  <c:v>68</c:v>
                </c:pt>
                <c:pt idx="7">
                  <c:v>70</c:v>
                </c:pt>
                <c:pt idx="8">
                  <c:v>59</c:v>
                </c:pt>
                <c:pt idx="9">
                  <c:v>65</c:v>
                </c:pt>
                <c:pt idx="10">
                  <c:v>95</c:v>
                </c:pt>
                <c:pt idx="11">
                  <c:v>72</c:v>
                </c:pt>
                <c:pt idx="12">
                  <c:v>64</c:v>
                </c:pt>
                <c:pt idx="13">
                  <c:v>67</c:v>
                </c:pt>
                <c:pt idx="14">
                  <c:v>60</c:v>
                </c:pt>
                <c:pt idx="15">
                  <c:v>69</c:v>
                </c:pt>
              </c:numCache>
            </c:numRef>
          </c:val>
        </c:ser>
        <c:ser>
          <c:idx val="5"/>
          <c:order val="5"/>
          <c:tx>
            <c:strRef>
              <c:f>List1!$G$1</c:f>
              <c:strCache>
                <c:ptCount val="1"/>
                <c:pt idx="0">
                  <c:v>sacharidy (%)</c:v>
                </c:pt>
              </c:strCache>
            </c:strRef>
          </c:tx>
          <c:invertIfNegative val="0"/>
          <c:val>
            <c:numRef>
              <c:f>List1!$G$2:$G$17</c:f>
              <c:numCache>
                <c:formatCode>General</c:formatCode>
                <c:ptCount val="16"/>
                <c:pt idx="0">
                  <c:v>70</c:v>
                </c:pt>
                <c:pt idx="1">
                  <c:v>69</c:v>
                </c:pt>
                <c:pt idx="2">
                  <c:v>118</c:v>
                </c:pt>
                <c:pt idx="3">
                  <c:v>59</c:v>
                </c:pt>
                <c:pt idx="4">
                  <c:v>81</c:v>
                </c:pt>
                <c:pt idx="5">
                  <c:v>78</c:v>
                </c:pt>
                <c:pt idx="6">
                  <c:v>86</c:v>
                </c:pt>
                <c:pt idx="7">
                  <c:v>95</c:v>
                </c:pt>
                <c:pt idx="8">
                  <c:v>168</c:v>
                </c:pt>
                <c:pt idx="9">
                  <c:v>75</c:v>
                </c:pt>
                <c:pt idx="10">
                  <c:v>100</c:v>
                </c:pt>
                <c:pt idx="11">
                  <c:v>93</c:v>
                </c:pt>
                <c:pt idx="12">
                  <c:v>70</c:v>
                </c:pt>
                <c:pt idx="13">
                  <c:v>93</c:v>
                </c:pt>
                <c:pt idx="14">
                  <c:v>76</c:v>
                </c:pt>
                <c:pt idx="15">
                  <c:v>71</c:v>
                </c:pt>
              </c:numCache>
            </c:numRef>
          </c:val>
        </c:ser>
        <c:dLbls>
          <c:showLegendKey val="0"/>
          <c:showVal val="0"/>
          <c:showCatName val="0"/>
          <c:showSerName val="0"/>
          <c:showPercent val="0"/>
          <c:showBubbleSize val="0"/>
        </c:dLbls>
        <c:gapWidth val="150"/>
        <c:axId val="175829760"/>
        <c:axId val="175831296"/>
      </c:barChart>
      <c:catAx>
        <c:axId val="175829760"/>
        <c:scaling>
          <c:orientation val="minMax"/>
        </c:scaling>
        <c:delete val="0"/>
        <c:axPos val="b"/>
        <c:majorTickMark val="out"/>
        <c:minorTickMark val="none"/>
        <c:tickLblPos val="nextTo"/>
        <c:crossAx val="175831296"/>
        <c:crosses val="autoZero"/>
        <c:auto val="1"/>
        <c:lblAlgn val="ctr"/>
        <c:lblOffset val="100"/>
        <c:noMultiLvlLbl val="0"/>
      </c:catAx>
      <c:valAx>
        <c:axId val="175831296"/>
        <c:scaling>
          <c:orientation val="minMax"/>
        </c:scaling>
        <c:delete val="0"/>
        <c:axPos val="l"/>
        <c:majorGridlines/>
        <c:numFmt formatCode="General" sourceLinked="1"/>
        <c:majorTickMark val="out"/>
        <c:minorTickMark val="none"/>
        <c:tickLblPos val="nextTo"/>
        <c:crossAx val="175829760"/>
        <c:crosses val="autoZero"/>
        <c:crossBetween val="between"/>
      </c:valAx>
    </c:plotArea>
    <c:legend>
      <c:legendPos val="r"/>
      <c:layout>
        <c:manualLayout>
          <c:xMode val="edge"/>
          <c:yMode val="edge"/>
          <c:x val="0.80564764962619717"/>
          <c:y val="0.24652280260345019"/>
          <c:w val="0.19213732004429679"/>
          <c:h val="0.5783271219211477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914624882770889E-2"/>
          <c:y val="4.3535999283673153E-2"/>
          <c:w val="0.78526710594533833"/>
          <c:h val="0.85822965377021032"/>
        </c:manualLayout>
      </c:layout>
      <c:barChart>
        <c:barDir val="col"/>
        <c:grouping val="clustered"/>
        <c:varyColors val="0"/>
        <c:ser>
          <c:idx val="0"/>
          <c:order val="0"/>
          <c:tx>
            <c:strRef>
              <c:f>List1!$E$1</c:f>
              <c:strCache>
                <c:ptCount val="1"/>
                <c:pt idx="0">
                  <c:v>bílkoviny (%)</c:v>
                </c:pt>
              </c:strCache>
            </c:strRef>
          </c:tx>
          <c:invertIfNegative val="0"/>
          <c:val>
            <c:numRef>
              <c:f>List1!$E$2:$E$17</c:f>
              <c:numCache>
                <c:formatCode>General</c:formatCode>
                <c:ptCount val="16"/>
                <c:pt idx="0">
                  <c:v>132</c:v>
                </c:pt>
                <c:pt idx="1">
                  <c:v>121</c:v>
                </c:pt>
                <c:pt idx="2">
                  <c:v>187</c:v>
                </c:pt>
                <c:pt idx="3">
                  <c:v>98</c:v>
                </c:pt>
                <c:pt idx="4">
                  <c:v>135</c:v>
                </c:pt>
                <c:pt idx="5">
                  <c:v>137</c:v>
                </c:pt>
                <c:pt idx="6">
                  <c:v>172</c:v>
                </c:pt>
                <c:pt idx="7">
                  <c:v>156</c:v>
                </c:pt>
                <c:pt idx="8">
                  <c:v>119</c:v>
                </c:pt>
                <c:pt idx="9">
                  <c:v>161</c:v>
                </c:pt>
                <c:pt idx="10">
                  <c:v>172</c:v>
                </c:pt>
                <c:pt idx="11">
                  <c:v>174</c:v>
                </c:pt>
                <c:pt idx="12">
                  <c:v>136</c:v>
                </c:pt>
                <c:pt idx="13">
                  <c:v>161</c:v>
                </c:pt>
                <c:pt idx="14">
                  <c:v>156</c:v>
                </c:pt>
                <c:pt idx="15">
                  <c:v>141</c:v>
                </c:pt>
              </c:numCache>
            </c:numRef>
          </c:val>
        </c:ser>
        <c:ser>
          <c:idx val="1"/>
          <c:order val="1"/>
          <c:tx>
            <c:strRef>
              <c:f>List1!$F$1</c:f>
              <c:strCache>
                <c:ptCount val="1"/>
                <c:pt idx="0">
                  <c:v>tuky (%)</c:v>
                </c:pt>
              </c:strCache>
            </c:strRef>
          </c:tx>
          <c:invertIfNegative val="0"/>
          <c:val>
            <c:numRef>
              <c:f>List1!$F$2:$F$17</c:f>
              <c:numCache>
                <c:formatCode>General</c:formatCode>
                <c:ptCount val="16"/>
                <c:pt idx="0">
                  <c:v>69</c:v>
                </c:pt>
                <c:pt idx="1">
                  <c:v>43</c:v>
                </c:pt>
                <c:pt idx="2">
                  <c:v>61</c:v>
                </c:pt>
                <c:pt idx="3">
                  <c:v>50</c:v>
                </c:pt>
                <c:pt idx="4">
                  <c:v>63</c:v>
                </c:pt>
                <c:pt idx="5">
                  <c:v>49</c:v>
                </c:pt>
                <c:pt idx="6">
                  <c:v>68</c:v>
                </c:pt>
                <c:pt idx="7">
                  <c:v>70</c:v>
                </c:pt>
                <c:pt idx="8">
                  <c:v>59</c:v>
                </c:pt>
                <c:pt idx="9">
                  <c:v>65</c:v>
                </c:pt>
                <c:pt idx="10">
                  <c:v>95</c:v>
                </c:pt>
                <c:pt idx="11">
                  <c:v>72</c:v>
                </c:pt>
                <c:pt idx="12">
                  <c:v>64</c:v>
                </c:pt>
                <c:pt idx="13">
                  <c:v>67</c:v>
                </c:pt>
                <c:pt idx="14">
                  <c:v>60</c:v>
                </c:pt>
                <c:pt idx="15">
                  <c:v>69</c:v>
                </c:pt>
              </c:numCache>
            </c:numRef>
          </c:val>
        </c:ser>
        <c:ser>
          <c:idx val="2"/>
          <c:order val="2"/>
          <c:tx>
            <c:strRef>
              <c:f>List1!$G$1</c:f>
              <c:strCache>
                <c:ptCount val="1"/>
                <c:pt idx="0">
                  <c:v>sacharidy (%)</c:v>
                </c:pt>
              </c:strCache>
            </c:strRef>
          </c:tx>
          <c:invertIfNegative val="0"/>
          <c:val>
            <c:numRef>
              <c:f>List1!$G$2:$G$17</c:f>
              <c:numCache>
                <c:formatCode>General</c:formatCode>
                <c:ptCount val="16"/>
                <c:pt idx="0">
                  <c:v>70</c:v>
                </c:pt>
                <c:pt idx="1">
                  <c:v>69</c:v>
                </c:pt>
                <c:pt idx="2">
                  <c:v>118</c:v>
                </c:pt>
                <c:pt idx="3">
                  <c:v>59</c:v>
                </c:pt>
                <c:pt idx="4">
                  <c:v>81</c:v>
                </c:pt>
                <c:pt idx="5">
                  <c:v>78</c:v>
                </c:pt>
                <c:pt idx="6">
                  <c:v>86</c:v>
                </c:pt>
                <c:pt idx="7">
                  <c:v>95</c:v>
                </c:pt>
                <c:pt idx="8">
                  <c:v>168</c:v>
                </c:pt>
                <c:pt idx="9">
                  <c:v>75</c:v>
                </c:pt>
                <c:pt idx="10">
                  <c:v>100</c:v>
                </c:pt>
                <c:pt idx="11">
                  <c:v>93</c:v>
                </c:pt>
                <c:pt idx="12">
                  <c:v>70</c:v>
                </c:pt>
                <c:pt idx="13">
                  <c:v>93</c:v>
                </c:pt>
                <c:pt idx="14">
                  <c:v>76</c:v>
                </c:pt>
                <c:pt idx="15">
                  <c:v>71</c:v>
                </c:pt>
              </c:numCache>
            </c:numRef>
          </c:val>
        </c:ser>
        <c:dLbls>
          <c:showLegendKey val="0"/>
          <c:showVal val="0"/>
          <c:showCatName val="0"/>
          <c:showSerName val="0"/>
          <c:showPercent val="0"/>
          <c:showBubbleSize val="0"/>
        </c:dLbls>
        <c:gapWidth val="150"/>
        <c:axId val="188302464"/>
        <c:axId val="188304384"/>
      </c:barChart>
      <c:catAx>
        <c:axId val="188302464"/>
        <c:scaling>
          <c:orientation val="minMax"/>
        </c:scaling>
        <c:delete val="0"/>
        <c:axPos val="b"/>
        <c:majorTickMark val="out"/>
        <c:minorTickMark val="none"/>
        <c:tickLblPos val="nextTo"/>
        <c:crossAx val="188304384"/>
        <c:crosses val="autoZero"/>
        <c:auto val="1"/>
        <c:lblAlgn val="ctr"/>
        <c:lblOffset val="100"/>
        <c:noMultiLvlLbl val="0"/>
      </c:catAx>
      <c:valAx>
        <c:axId val="188304384"/>
        <c:scaling>
          <c:orientation val="minMax"/>
        </c:scaling>
        <c:delete val="0"/>
        <c:axPos val="l"/>
        <c:majorGridlines/>
        <c:numFmt formatCode="General" sourceLinked="1"/>
        <c:majorTickMark val="out"/>
        <c:minorTickMark val="none"/>
        <c:tickLblPos val="nextTo"/>
        <c:crossAx val="188302464"/>
        <c:crosses val="autoZero"/>
        <c:crossBetween val="between"/>
      </c:valAx>
    </c:plotArea>
    <c:legend>
      <c:legendPos val="r"/>
      <c:layout>
        <c:manualLayout>
          <c:xMode val="edge"/>
          <c:yMode val="edge"/>
          <c:x val="0.87024851603154962"/>
          <c:y val="0.22294915520233477"/>
          <c:w val="0.11698688445775995"/>
          <c:h val="0.5050517707863609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xPr>
        <a:bodyPr/>
        <a:lstStyle/>
        <a:p>
          <a:pPr>
            <a:defRPr sz="1100" b="0">
              <a:latin typeface="Arial" panose="020B0604020202020204" pitchFamily="34" charset="0"/>
              <a:cs typeface="Arial" panose="020B0604020202020204" pitchFamily="34" charset="0"/>
            </a:defRPr>
          </a:pPr>
          <a:endParaRPr lang="cs-CZ"/>
        </a:p>
      </c:txPr>
    </c:title>
    <c:autoTitleDeleted val="0"/>
    <c:plotArea>
      <c:layout/>
      <c:barChart>
        <c:barDir val="col"/>
        <c:grouping val="clustered"/>
        <c:varyColors val="0"/>
        <c:ser>
          <c:idx val="0"/>
          <c:order val="0"/>
          <c:tx>
            <c:strRef>
              <c:f>List1!$B$25</c:f>
              <c:strCache>
                <c:ptCount val="1"/>
                <c:pt idx="0">
                  <c:v>energetická hodnota (%)</c:v>
                </c:pt>
              </c:strCache>
            </c:strRef>
          </c:tx>
          <c:invertIfNegative val="0"/>
          <c:val>
            <c:numRef>
              <c:f>List1!$B$26:$B$49</c:f>
              <c:numCache>
                <c:formatCode>General</c:formatCode>
                <c:ptCount val="24"/>
                <c:pt idx="0">
                  <c:v>116</c:v>
                </c:pt>
                <c:pt idx="1">
                  <c:v>110</c:v>
                </c:pt>
                <c:pt idx="2">
                  <c:v>109</c:v>
                </c:pt>
                <c:pt idx="3">
                  <c:v>98</c:v>
                </c:pt>
                <c:pt idx="4">
                  <c:v>103</c:v>
                </c:pt>
                <c:pt idx="5">
                  <c:v>99</c:v>
                </c:pt>
                <c:pt idx="6">
                  <c:v>111</c:v>
                </c:pt>
                <c:pt idx="7">
                  <c:v>98</c:v>
                </c:pt>
                <c:pt idx="8">
                  <c:v>102</c:v>
                </c:pt>
                <c:pt idx="9">
                  <c:v>113</c:v>
                </c:pt>
                <c:pt idx="10">
                  <c:v>109</c:v>
                </c:pt>
                <c:pt idx="11">
                  <c:v>93</c:v>
                </c:pt>
                <c:pt idx="12">
                  <c:v>116</c:v>
                </c:pt>
                <c:pt idx="13">
                  <c:v>115</c:v>
                </c:pt>
                <c:pt idx="14">
                  <c:v>116</c:v>
                </c:pt>
                <c:pt idx="15">
                  <c:v>87</c:v>
                </c:pt>
                <c:pt idx="16">
                  <c:v>110</c:v>
                </c:pt>
                <c:pt idx="17">
                  <c:v>135</c:v>
                </c:pt>
                <c:pt idx="18">
                  <c:v>117</c:v>
                </c:pt>
                <c:pt idx="19">
                  <c:v>119</c:v>
                </c:pt>
                <c:pt idx="20">
                  <c:v>102</c:v>
                </c:pt>
                <c:pt idx="21">
                  <c:v>122</c:v>
                </c:pt>
                <c:pt idx="22">
                  <c:v>130</c:v>
                </c:pt>
                <c:pt idx="23">
                  <c:v>126</c:v>
                </c:pt>
              </c:numCache>
            </c:numRef>
          </c:val>
        </c:ser>
        <c:dLbls>
          <c:showLegendKey val="0"/>
          <c:showVal val="0"/>
          <c:showCatName val="0"/>
          <c:showSerName val="0"/>
          <c:showPercent val="0"/>
          <c:showBubbleSize val="0"/>
        </c:dLbls>
        <c:gapWidth val="150"/>
        <c:axId val="61291904"/>
        <c:axId val="61293696"/>
      </c:barChart>
      <c:catAx>
        <c:axId val="61291904"/>
        <c:scaling>
          <c:orientation val="minMax"/>
        </c:scaling>
        <c:delete val="0"/>
        <c:axPos val="b"/>
        <c:majorTickMark val="out"/>
        <c:minorTickMark val="none"/>
        <c:tickLblPos val="nextTo"/>
        <c:crossAx val="61293696"/>
        <c:crosses val="autoZero"/>
        <c:auto val="1"/>
        <c:lblAlgn val="ctr"/>
        <c:lblOffset val="100"/>
        <c:noMultiLvlLbl val="0"/>
      </c:catAx>
      <c:valAx>
        <c:axId val="61293696"/>
        <c:scaling>
          <c:orientation val="minMax"/>
        </c:scaling>
        <c:delete val="0"/>
        <c:axPos val="l"/>
        <c:majorGridlines/>
        <c:numFmt formatCode="General" sourceLinked="1"/>
        <c:majorTickMark val="out"/>
        <c:minorTickMark val="none"/>
        <c:tickLblPos val="nextTo"/>
        <c:crossAx val="612919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345892881116671E-2"/>
          <c:y val="6.273296512719484E-2"/>
          <c:w val="0.76858899581996698"/>
          <c:h val="0.7957167784721314"/>
        </c:manualLayout>
      </c:layout>
      <c:barChart>
        <c:barDir val="col"/>
        <c:grouping val="clustered"/>
        <c:varyColors val="0"/>
        <c:ser>
          <c:idx val="0"/>
          <c:order val="0"/>
          <c:tx>
            <c:strRef>
              <c:f>List1!$A$25</c:f>
              <c:strCache>
                <c:ptCount val="1"/>
                <c:pt idx="0">
                  <c:v>kraj</c:v>
                </c:pt>
              </c:strCache>
            </c:strRef>
          </c:tx>
          <c:invertIfNegative val="0"/>
          <c:val>
            <c:numRef>
              <c:f>List1!$A$26:$A$49</c:f>
              <c:numCache>
                <c:formatCode>General</c:formatCode>
                <c:ptCount val="24"/>
                <c:pt idx="0">
                  <c:v>0</c:v>
                </c:pt>
                <c:pt idx="1">
                  <c:v>0</c:v>
                </c:pt>
                <c:pt idx="4">
                  <c:v>0</c:v>
                </c:pt>
                <c:pt idx="5">
                  <c:v>0</c:v>
                </c:pt>
                <c:pt idx="6">
                  <c:v>0</c:v>
                </c:pt>
                <c:pt idx="9">
                  <c:v>0</c:v>
                </c:pt>
                <c:pt idx="11">
                  <c:v>0</c:v>
                </c:pt>
                <c:pt idx="13">
                  <c:v>0</c:v>
                </c:pt>
                <c:pt idx="14">
                  <c:v>0</c:v>
                </c:pt>
                <c:pt idx="15">
                  <c:v>0</c:v>
                </c:pt>
                <c:pt idx="16">
                  <c:v>0</c:v>
                </c:pt>
                <c:pt idx="18">
                  <c:v>0</c:v>
                </c:pt>
                <c:pt idx="20">
                  <c:v>0</c:v>
                </c:pt>
                <c:pt idx="21">
                  <c:v>0</c:v>
                </c:pt>
              </c:numCache>
            </c:numRef>
          </c:val>
        </c:ser>
        <c:ser>
          <c:idx val="1"/>
          <c:order val="1"/>
          <c:tx>
            <c:strRef>
              <c:f>List1!$B$25</c:f>
              <c:strCache>
                <c:ptCount val="1"/>
                <c:pt idx="0">
                  <c:v>energetická hodnota (%)</c:v>
                </c:pt>
              </c:strCache>
            </c:strRef>
          </c:tx>
          <c:invertIfNegative val="0"/>
          <c:val>
            <c:numRef>
              <c:f>List1!$B$26:$B$49</c:f>
              <c:numCache>
                <c:formatCode>General</c:formatCode>
                <c:ptCount val="24"/>
                <c:pt idx="0">
                  <c:v>116</c:v>
                </c:pt>
                <c:pt idx="1">
                  <c:v>110</c:v>
                </c:pt>
                <c:pt idx="2">
                  <c:v>109</c:v>
                </c:pt>
                <c:pt idx="3">
                  <c:v>98</c:v>
                </c:pt>
                <c:pt idx="4">
                  <c:v>103</c:v>
                </c:pt>
                <c:pt idx="5">
                  <c:v>99</c:v>
                </c:pt>
                <c:pt idx="6">
                  <c:v>111</c:v>
                </c:pt>
                <c:pt idx="7">
                  <c:v>98</c:v>
                </c:pt>
                <c:pt idx="8">
                  <c:v>102</c:v>
                </c:pt>
                <c:pt idx="9">
                  <c:v>113</c:v>
                </c:pt>
                <c:pt idx="10">
                  <c:v>109</c:v>
                </c:pt>
                <c:pt idx="11">
                  <c:v>93</c:v>
                </c:pt>
                <c:pt idx="12">
                  <c:v>116</c:v>
                </c:pt>
                <c:pt idx="13">
                  <c:v>115</c:v>
                </c:pt>
                <c:pt idx="14">
                  <c:v>116</c:v>
                </c:pt>
                <c:pt idx="15">
                  <c:v>87</c:v>
                </c:pt>
                <c:pt idx="16">
                  <c:v>110</c:v>
                </c:pt>
                <c:pt idx="17">
                  <c:v>135</c:v>
                </c:pt>
                <c:pt idx="18">
                  <c:v>117</c:v>
                </c:pt>
                <c:pt idx="19">
                  <c:v>119</c:v>
                </c:pt>
                <c:pt idx="20">
                  <c:v>102</c:v>
                </c:pt>
                <c:pt idx="21">
                  <c:v>122</c:v>
                </c:pt>
                <c:pt idx="22">
                  <c:v>130</c:v>
                </c:pt>
                <c:pt idx="23">
                  <c:v>126</c:v>
                </c:pt>
              </c:numCache>
            </c:numRef>
          </c:val>
        </c:ser>
        <c:ser>
          <c:idx val="2"/>
          <c:order val="2"/>
          <c:tx>
            <c:strRef>
              <c:f>List1!$C$25</c:f>
              <c:strCache>
                <c:ptCount val="1"/>
                <c:pt idx="0">
                  <c:v>sůl (%)</c:v>
                </c:pt>
              </c:strCache>
            </c:strRef>
          </c:tx>
          <c:invertIfNegative val="0"/>
          <c:val>
            <c:numRef>
              <c:f>List1!$C$26:$C$49</c:f>
              <c:numCache>
                <c:formatCode>General</c:formatCode>
                <c:ptCount val="24"/>
                <c:pt idx="0">
                  <c:v>272</c:v>
                </c:pt>
                <c:pt idx="1">
                  <c:v>207</c:v>
                </c:pt>
                <c:pt idx="2">
                  <c:v>190</c:v>
                </c:pt>
                <c:pt idx="3">
                  <c:v>148</c:v>
                </c:pt>
                <c:pt idx="4">
                  <c:v>165</c:v>
                </c:pt>
                <c:pt idx="5">
                  <c:v>217</c:v>
                </c:pt>
                <c:pt idx="6">
                  <c:v>175</c:v>
                </c:pt>
                <c:pt idx="7">
                  <c:v>168</c:v>
                </c:pt>
                <c:pt idx="8">
                  <c:v>175</c:v>
                </c:pt>
                <c:pt idx="9">
                  <c:v>252</c:v>
                </c:pt>
                <c:pt idx="10">
                  <c:v>275</c:v>
                </c:pt>
                <c:pt idx="11">
                  <c:v>238</c:v>
                </c:pt>
                <c:pt idx="12">
                  <c:v>318</c:v>
                </c:pt>
                <c:pt idx="13">
                  <c:v>217</c:v>
                </c:pt>
                <c:pt idx="14">
                  <c:v>242</c:v>
                </c:pt>
                <c:pt idx="15">
                  <c:v>208</c:v>
                </c:pt>
                <c:pt idx="16">
                  <c:v>208</c:v>
                </c:pt>
                <c:pt idx="17">
                  <c:v>288</c:v>
                </c:pt>
                <c:pt idx="18">
                  <c:v>280</c:v>
                </c:pt>
                <c:pt idx="19">
                  <c:v>312</c:v>
                </c:pt>
                <c:pt idx="20">
                  <c:v>283</c:v>
                </c:pt>
                <c:pt idx="21">
                  <c:v>260</c:v>
                </c:pt>
                <c:pt idx="22">
                  <c:v>352</c:v>
                </c:pt>
                <c:pt idx="23">
                  <c:v>302</c:v>
                </c:pt>
              </c:numCache>
            </c:numRef>
          </c:val>
        </c:ser>
        <c:ser>
          <c:idx val="3"/>
          <c:order val="3"/>
          <c:tx>
            <c:strRef>
              <c:f>List1!$D$25</c:f>
              <c:strCache>
                <c:ptCount val="1"/>
                <c:pt idx="0">
                  <c:v>vláknina (%)</c:v>
                </c:pt>
              </c:strCache>
            </c:strRef>
          </c:tx>
          <c:invertIfNegative val="0"/>
          <c:val>
            <c:numRef>
              <c:f>List1!$D$26:$D$49</c:f>
              <c:numCache>
                <c:formatCode>General</c:formatCode>
                <c:ptCount val="24"/>
                <c:pt idx="0">
                  <c:v>84</c:v>
                </c:pt>
                <c:pt idx="1">
                  <c:v>87</c:v>
                </c:pt>
                <c:pt idx="2">
                  <c:v>78</c:v>
                </c:pt>
                <c:pt idx="3">
                  <c:v>80</c:v>
                </c:pt>
                <c:pt idx="4">
                  <c:v>81</c:v>
                </c:pt>
                <c:pt idx="5">
                  <c:v>72</c:v>
                </c:pt>
                <c:pt idx="6">
                  <c:v>97</c:v>
                </c:pt>
                <c:pt idx="7">
                  <c:v>65</c:v>
                </c:pt>
                <c:pt idx="8">
                  <c:v>60</c:v>
                </c:pt>
                <c:pt idx="9">
                  <c:v>82</c:v>
                </c:pt>
                <c:pt idx="10">
                  <c:v>59</c:v>
                </c:pt>
                <c:pt idx="11">
                  <c:v>72</c:v>
                </c:pt>
                <c:pt idx="12">
                  <c:v>96</c:v>
                </c:pt>
                <c:pt idx="13">
                  <c:v>99</c:v>
                </c:pt>
                <c:pt idx="14">
                  <c:v>71</c:v>
                </c:pt>
                <c:pt idx="15">
                  <c:v>73</c:v>
                </c:pt>
                <c:pt idx="16">
                  <c:v>73</c:v>
                </c:pt>
                <c:pt idx="17">
                  <c:v>85</c:v>
                </c:pt>
                <c:pt idx="18">
                  <c:v>91</c:v>
                </c:pt>
                <c:pt idx="19">
                  <c:v>64</c:v>
                </c:pt>
                <c:pt idx="20">
                  <c:v>63</c:v>
                </c:pt>
                <c:pt idx="21">
                  <c:v>100</c:v>
                </c:pt>
                <c:pt idx="22">
                  <c:v>93</c:v>
                </c:pt>
                <c:pt idx="23">
                  <c:v>81</c:v>
                </c:pt>
              </c:numCache>
            </c:numRef>
          </c:val>
        </c:ser>
        <c:ser>
          <c:idx val="4"/>
          <c:order val="4"/>
          <c:tx>
            <c:strRef>
              <c:f>List1!$E$25</c:f>
              <c:strCache>
                <c:ptCount val="1"/>
                <c:pt idx="0">
                  <c:v>bílkoviny (%)</c:v>
                </c:pt>
              </c:strCache>
            </c:strRef>
          </c:tx>
          <c:invertIfNegative val="0"/>
          <c:val>
            <c:numRef>
              <c:f>List1!$E$26:$E$49</c:f>
              <c:numCache>
                <c:formatCode>General</c:formatCode>
                <c:ptCount val="24"/>
                <c:pt idx="0">
                  <c:v>141</c:v>
                </c:pt>
                <c:pt idx="1">
                  <c:v>130</c:v>
                </c:pt>
                <c:pt idx="2">
                  <c:v>147</c:v>
                </c:pt>
                <c:pt idx="3">
                  <c:v>139</c:v>
                </c:pt>
                <c:pt idx="4">
                  <c:v>162</c:v>
                </c:pt>
                <c:pt idx="5">
                  <c:v>147</c:v>
                </c:pt>
                <c:pt idx="6">
                  <c:v>160</c:v>
                </c:pt>
                <c:pt idx="7">
                  <c:v>153</c:v>
                </c:pt>
                <c:pt idx="8">
                  <c:v>146</c:v>
                </c:pt>
                <c:pt idx="9">
                  <c:v>183</c:v>
                </c:pt>
                <c:pt idx="10">
                  <c:v>168</c:v>
                </c:pt>
                <c:pt idx="11">
                  <c:v>124</c:v>
                </c:pt>
                <c:pt idx="12">
                  <c:v>159</c:v>
                </c:pt>
                <c:pt idx="13">
                  <c:v>161</c:v>
                </c:pt>
                <c:pt idx="14">
                  <c:v>151</c:v>
                </c:pt>
                <c:pt idx="15">
                  <c:v>116</c:v>
                </c:pt>
                <c:pt idx="16">
                  <c:v>157</c:v>
                </c:pt>
                <c:pt idx="17">
                  <c:v>160</c:v>
                </c:pt>
                <c:pt idx="18">
                  <c:v>175</c:v>
                </c:pt>
                <c:pt idx="19">
                  <c:v>150</c:v>
                </c:pt>
                <c:pt idx="20">
                  <c:v>144</c:v>
                </c:pt>
                <c:pt idx="21">
                  <c:v>176</c:v>
                </c:pt>
                <c:pt idx="22">
                  <c:v>186</c:v>
                </c:pt>
                <c:pt idx="23">
                  <c:v>188</c:v>
                </c:pt>
              </c:numCache>
            </c:numRef>
          </c:val>
        </c:ser>
        <c:ser>
          <c:idx val="5"/>
          <c:order val="5"/>
          <c:tx>
            <c:strRef>
              <c:f>List1!$F$25</c:f>
              <c:strCache>
                <c:ptCount val="1"/>
                <c:pt idx="0">
                  <c:v>tuky (%)</c:v>
                </c:pt>
              </c:strCache>
            </c:strRef>
          </c:tx>
          <c:invertIfNegative val="0"/>
          <c:val>
            <c:numRef>
              <c:f>List1!$F$26:$F$49</c:f>
              <c:numCache>
                <c:formatCode>General</c:formatCode>
                <c:ptCount val="24"/>
                <c:pt idx="0">
                  <c:v>119</c:v>
                </c:pt>
                <c:pt idx="1">
                  <c:v>105</c:v>
                </c:pt>
                <c:pt idx="2">
                  <c:v>117</c:v>
                </c:pt>
                <c:pt idx="3">
                  <c:v>104</c:v>
                </c:pt>
                <c:pt idx="4">
                  <c:v>96</c:v>
                </c:pt>
                <c:pt idx="5">
                  <c:v>89</c:v>
                </c:pt>
                <c:pt idx="6">
                  <c:v>115</c:v>
                </c:pt>
                <c:pt idx="7">
                  <c:v>76</c:v>
                </c:pt>
                <c:pt idx="8">
                  <c:v>83</c:v>
                </c:pt>
                <c:pt idx="9">
                  <c:v>113</c:v>
                </c:pt>
                <c:pt idx="10">
                  <c:v>133</c:v>
                </c:pt>
                <c:pt idx="11">
                  <c:v>110</c:v>
                </c:pt>
                <c:pt idx="12">
                  <c:v>121</c:v>
                </c:pt>
                <c:pt idx="13">
                  <c:v>131</c:v>
                </c:pt>
                <c:pt idx="14">
                  <c:v>105</c:v>
                </c:pt>
                <c:pt idx="15">
                  <c:v>86</c:v>
                </c:pt>
                <c:pt idx="16">
                  <c:v>123</c:v>
                </c:pt>
                <c:pt idx="17">
                  <c:v>157</c:v>
                </c:pt>
                <c:pt idx="18">
                  <c:v>138</c:v>
                </c:pt>
                <c:pt idx="19">
                  <c:v>131</c:v>
                </c:pt>
                <c:pt idx="20">
                  <c:v>125</c:v>
                </c:pt>
                <c:pt idx="21">
                  <c:v>129</c:v>
                </c:pt>
                <c:pt idx="22">
                  <c:v>151</c:v>
                </c:pt>
                <c:pt idx="23">
                  <c:v>127</c:v>
                </c:pt>
              </c:numCache>
            </c:numRef>
          </c:val>
        </c:ser>
        <c:ser>
          <c:idx val="6"/>
          <c:order val="6"/>
          <c:tx>
            <c:strRef>
              <c:f>List1!$G$25</c:f>
              <c:strCache>
                <c:ptCount val="1"/>
                <c:pt idx="0">
                  <c:v>sacharidy (%)</c:v>
                </c:pt>
              </c:strCache>
            </c:strRef>
          </c:tx>
          <c:invertIfNegative val="0"/>
          <c:val>
            <c:numRef>
              <c:f>List1!$G$26:$G$49</c:f>
              <c:numCache>
                <c:formatCode>General</c:formatCode>
                <c:ptCount val="24"/>
                <c:pt idx="0">
                  <c:v>117</c:v>
                </c:pt>
                <c:pt idx="1">
                  <c:v>103</c:v>
                </c:pt>
                <c:pt idx="2">
                  <c:v>95</c:v>
                </c:pt>
                <c:pt idx="3">
                  <c:v>87</c:v>
                </c:pt>
                <c:pt idx="4">
                  <c:v>92</c:v>
                </c:pt>
                <c:pt idx="5">
                  <c:v>92</c:v>
                </c:pt>
                <c:pt idx="6">
                  <c:v>108</c:v>
                </c:pt>
                <c:pt idx="7">
                  <c:v>97</c:v>
                </c:pt>
                <c:pt idx="8">
                  <c:v>102</c:v>
                </c:pt>
                <c:pt idx="9">
                  <c:v>97</c:v>
                </c:pt>
                <c:pt idx="10">
                  <c:v>83</c:v>
                </c:pt>
                <c:pt idx="11">
                  <c:v>82</c:v>
                </c:pt>
                <c:pt idx="12">
                  <c:v>101</c:v>
                </c:pt>
                <c:pt idx="13">
                  <c:v>93</c:v>
                </c:pt>
                <c:pt idx="14">
                  <c:v>112</c:v>
                </c:pt>
                <c:pt idx="15">
                  <c:v>78</c:v>
                </c:pt>
                <c:pt idx="16">
                  <c:v>92</c:v>
                </c:pt>
                <c:pt idx="17">
                  <c:v>115</c:v>
                </c:pt>
                <c:pt idx="18">
                  <c:v>91</c:v>
                </c:pt>
                <c:pt idx="19">
                  <c:v>104</c:v>
                </c:pt>
                <c:pt idx="20">
                  <c:v>80</c:v>
                </c:pt>
                <c:pt idx="21">
                  <c:v>103</c:v>
                </c:pt>
                <c:pt idx="22">
                  <c:v>108</c:v>
                </c:pt>
                <c:pt idx="23">
                  <c:v>123</c:v>
                </c:pt>
              </c:numCache>
            </c:numRef>
          </c:val>
        </c:ser>
        <c:dLbls>
          <c:showLegendKey val="0"/>
          <c:showVal val="0"/>
          <c:showCatName val="0"/>
          <c:showSerName val="0"/>
          <c:showPercent val="0"/>
          <c:showBubbleSize val="0"/>
        </c:dLbls>
        <c:gapWidth val="150"/>
        <c:axId val="63447040"/>
        <c:axId val="63448576"/>
      </c:barChart>
      <c:catAx>
        <c:axId val="63447040"/>
        <c:scaling>
          <c:orientation val="minMax"/>
        </c:scaling>
        <c:delete val="0"/>
        <c:axPos val="b"/>
        <c:majorTickMark val="out"/>
        <c:minorTickMark val="none"/>
        <c:tickLblPos val="nextTo"/>
        <c:crossAx val="63448576"/>
        <c:crosses val="autoZero"/>
        <c:auto val="1"/>
        <c:lblAlgn val="ctr"/>
        <c:lblOffset val="100"/>
        <c:noMultiLvlLbl val="0"/>
      </c:catAx>
      <c:valAx>
        <c:axId val="63448576"/>
        <c:scaling>
          <c:orientation val="minMax"/>
        </c:scaling>
        <c:delete val="0"/>
        <c:axPos val="l"/>
        <c:majorGridlines/>
        <c:numFmt formatCode="General" sourceLinked="1"/>
        <c:majorTickMark val="out"/>
        <c:minorTickMark val="none"/>
        <c:tickLblPos val="nextTo"/>
        <c:crossAx val="63447040"/>
        <c:crosses val="autoZero"/>
        <c:crossBetween val="between"/>
      </c:valAx>
    </c:plotArea>
    <c:legend>
      <c:legendPos val="r"/>
      <c:legendEntry>
        <c:idx val="0"/>
        <c:delete val="1"/>
      </c:legendEntry>
      <c:layout>
        <c:manualLayout>
          <c:xMode val="edge"/>
          <c:yMode val="edge"/>
          <c:x val="0.85725308641975306"/>
          <c:y val="0.12048785088808156"/>
          <c:w val="0.12951036086707859"/>
          <c:h val="0.68452805881634327"/>
        </c:manualLayout>
      </c:layout>
      <c:overlay val="0"/>
      <c:txPr>
        <a:bodyPr/>
        <a:lstStyle/>
        <a:p>
          <a:pPr>
            <a:defRPr sz="900"/>
          </a:pPr>
          <a:endParaRPr lang="cs-CZ"/>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0586441846285E-2"/>
          <c:y val="4.8188019466316713E-2"/>
          <c:w val="0.78993196076993344"/>
          <c:h val="0.84308084536307959"/>
        </c:manualLayout>
      </c:layout>
      <c:barChart>
        <c:barDir val="col"/>
        <c:grouping val="clustered"/>
        <c:varyColors val="0"/>
        <c:ser>
          <c:idx val="0"/>
          <c:order val="0"/>
          <c:tx>
            <c:strRef>
              <c:f>List1!$E$25</c:f>
              <c:strCache>
                <c:ptCount val="1"/>
                <c:pt idx="0">
                  <c:v>bílkoviny (%)</c:v>
                </c:pt>
              </c:strCache>
            </c:strRef>
          </c:tx>
          <c:invertIfNegative val="0"/>
          <c:val>
            <c:numRef>
              <c:f>List1!$E$26:$E$49</c:f>
              <c:numCache>
                <c:formatCode>General</c:formatCode>
                <c:ptCount val="24"/>
                <c:pt idx="0">
                  <c:v>141</c:v>
                </c:pt>
                <c:pt idx="1">
                  <c:v>130</c:v>
                </c:pt>
                <c:pt idx="2">
                  <c:v>147</c:v>
                </c:pt>
                <c:pt idx="3">
                  <c:v>139</c:v>
                </c:pt>
                <c:pt idx="4">
                  <c:v>162</c:v>
                </c:pt>
                <c:pt idx="5">
                  <c:v>147</c:v>
                </c:pt>
                <c:pt idx="6">
                  <c:v>160</c:v>
                </c:pt>
                <c:pt idx="7">
                  <c:v>153</c:v>
                </c:pt>
                <c:pt idx="8">
                  <c:v>146</c:v>
                </c:pt>
                <c:pt idx="9">
                  <c:v>183</c:v>
                </c:pt>
                <c:pt idx="10">
                  <c:v>168</c:v>
                </c:pt>
                <c:pt idx="11">
                  <c:v>124</c:v>
                </c:pt>
                <c:pt idx="12">
                  <c:v>159</c:v>
                </c:pt>
                <c:pt idx="13">
                  <c:v>161</c:v>
                </c:pt>
                <c:pt idx="14">
                  <c:v>151</c:v>
                </c:pt>
                <c:pt idx="15">
                  <c:v>116</c:v>
                </c:pt>
                <c:pt idx="16">
                  <c:v>157</c:v>
                </c:pt>
                <c:pt idx="17">
                  <c:v>160</c:v>
                </c:pt>
                <c:pt idx="18">
                  <c:v>175</c:v>
                </c:pt>
                <c:pt idx="19">
                  <c:v>150</c:v>
                </c:pt>
                <c:pt idx="20">
                  <c:v>144</c:v>
                </c:pt>
                <c:pt idx="21">
                  <c:v>176</c:v>
                </c:pt>
                <c:pt idx="22">
                  <c:v>186</c:v>
                </c:pt>
                <c:pt idx="23">
                  <c:v>188</c:v>
                </c:pt>
              </c:numCache>
            </c:numRef>
          </c:val>
        </c:ser>
        <c:ser>
          <c:idx val="1"/>
          <c:order val="1"/>
          <c:tx>
            <c:strRef>
              <c:f>List1!$F$25</c:f>
              <c:strCache>
                <c:ptCount val="1"/>
                <c:pt idx="0">
                  <c:v>tuky (%)</c:v>
                </c:pt>
              </c:strCache>
            </c:strRef>
          </c:tx>
          <c:invertIfNegative val="0"/>
          <c:val>
            <c:numRef>
              <c:f>List1!$F$26:$F$49</c:f>
              <c:numCache>
                <c:formatCode>General</c:formatCode>
                <c:ptCount val="24"/>
                <c:pt idx="0">
                  <c:v>119</c:v>
                </c:pt>
                <c:pt idx="1">
                  <c:v>105</c:v>
                </c:pt>
                <c:pt idx="2">
                  <c:v>117</c:v>
                </c:pt>
                <c:pt idx="3">
                  <c:v>104</c:v>
                </c:pt>
                <c:pt idx="4">
                  <c:v>96</c:v>
                </c:pt>
                <c:pt idx="5">
                  <c:v>89</c:v>
                </c:pt>
                <c:pt idx="6">
                  <c:v>115</c:v>
                </c:pt>
                <c:pt idx="7">
                  <c:v>76</c:v>
                </c:pt>
                <c:pt idx="8">
                  <c:v>83</c:v>
                </c:pt>
                <c:pt idx="9">
                  <c:v>113</c:v>
                </c:pt>
                <c:pt idx="10">
                  <c:v>133</c:v>
                </c:pt>
                <c:pt idx="11">
                  <c:v>110</c:v>
                </c:pt>
                <c:pt idx="12">
                  <c:v>121</c:v>
                </c:pt>
                <c:pt idx="13">
                  <c:v>131</c:v>
                </c:pt>
                <c:pt idx="14">
                  <c:v>105</c:v>
                </c:pt>
                <c:pt idx="15">
                  <c:v>86</c:v>
                </c:pt>
                <c:pt idx="16">
                  <c:v>123</c:v>
                </c:pt>
                <c:pt idx="17">
                  <c:v>157</c:v>
                </c:pt>
                <c:pt idx="18">
                  <c:v>138</c:v>
                </c:pt>
                <c:pt idx="19">
                  <c:v>131</c:v>
                </c:pt>
                <c:pt idx="20">
                  <c:v>125</c:v>
                </c:pt>
                <c:pt idx="21">
                  <c:v>129</c:v>
                </c:pt>
                <c:pt idx="22">
                  <c:v>151</c:v>
                </c:pt>
                <c:pt idx="23">
                  <c:v>127</c:v>
                </c:pt>
              </c:numCache>
            </c:numRef>
          </c:val>
        </c:ser>
        <c:ser>
          <c:idx val="2"/>
          <c:order val="2"/>
          <c:tx>
            <c:strRef>
              <c:f>List1!$G$25</c:f>
              <c:strCache>
                <c:ptCount val="1"/>
                <c:pt idx="0">
                  <c:v>sacharidy (%)</c:v>
                </c:pt>
              </c:strCache>
            </c:strRef>
          </c:tx>
          <c:invertIfNegative val="0"/>
          <c:val>
            <c:numRef>
              <c:f>List1!$G$26:$G$49</c:f>
              <c:numCache>
                <c:formatCode>General</c:formatCode>
                <c:ptCount val="24"/>
                <c:pt idx="0">
                  <c:v>117</c:v>
                </c:pt>
                <c:pt idx="1">
                  <c:v>103</c:v>
                </c:pt>
                <c:pt idx="2">
                  <c:v>95</c:v>
                </c:pt>
                <c:pt idx="3">
                  <c:v>87</c:v>
                </c:pt>
                <c:pt idx="4">
                  <c:v>92</c:v>
                </c:pt>
                <c:pt idx="5">
                  <c:v>92</c:v>
                </c:pt>
                <c:pt idx="6">
                  <c:v>108</c:v>
                </c:pt>
                <c:pt idx="7">
                  <c:v>97</c:v>
                </c:pt>
                <c:pt idx="8">
                  <c:v>102</c:v>
                </c:pt>
                <c:pt idx="9">
                  <c:v>97</c:v>
                </c:pt>
                <c:pt idx="10">
                  <c:v>83</c:v>
                </c:pt>
                <c:pt idx="11">
                  <c:v>82</c:v>
                </c:pt>
                <c:pt idx="12">
                  <c:v>101</c:v>
                </c:pt>
                <c:pt idx="13">
                  <c:v>93</c:v>
                </c:pt>
                <c:pt idx="14">
                  <c:v>112</c:v>
                </c:pt>
                <c:pt idx="15">
                  <c:v>78</c:v>
                </c:pt>
                <c:pt idx="16">
                  <c:v>92</c:v>
                </c:pt>
                <c:pt idx="17">
                  <c:v>115</c:v>
                </c:pt>
                <c:pt idx="18">
                  <c:v>91</c:v>
                </c:pt>
                <c:pt idx="19">
                  <c:v>104</c:v>
                </c:pt>
                <c:pt idx="20">
                  <c:v>80</c:v>
                </c:pt>
                <c:pt idx="21">
                  <c:v>103</c:v>
                </c:pt>
                <c:pt idx="22">
                  <c:v>108</c:v>
                </c:pt>
                <c:pt idx="23">
                  <c:v>123</c:v>
                </c:pt>
              </c:numCache>
            </c:numRef>
          </c:val>
        </c:ser>
        <c:dLbls>
          <c:showLegendKey val="0"/>
          <c:showVal val="0"/>
          <c:showCatName val="0"/>
          <c:showSerName val="0"/>
          <c:showPercent val="0"/>
          <c:showBubbleSize val="0"/>
        </c:dLbls>
        <c:gapWidth val="150"/>
        <c:axId val="63498112"/>
        <c:axId val="63499648"/>
      </c:barChart>
      <c:catAx>
        <c:axId val="63498112"/>
        <c:scaling>
          <c:orientation val="minMax"/>
        </c:scaling>
        <c:delete val="0"/>
        <c:axPos val="b"/>
        <c:majorTickMark val="out"/>
        <c:minorTickMark val="none"/>
        <c:tickLblPos val="nextTo"/>
        <c:crossAx val="63499648"/>
        <c:crosses val="autoZero"/>
        <c:auto val="1"/>
        <c:lblAlgn val="ctr"/>
        <c:lblOffset val="100"/>
        <c:noMultiLvlLbl val="0"/>
      </c:catAx>
      <c:valAx>
        <c:axId val="63499648"/>
        <c:scaling>
          <c:orientation val="minMax"/>
        </c:scaling>
        <c:delete val="0"/>
        <c:axPos val="l"/>
        <c:majorGridlines/>
        <c:numFmt formatCode="General" sourceLinked="1"/>
        <c:majorTickMark val="out"/>
        <c:minorTickMark val="none"/>
        <c:tickLblPos val="nextTo"/>
        <c:crossAx val="63498112"/>
        <c:crosses val="autoZero"/>
        <c:crossBetween val="between"/>
      </c:valAx>
    </c:plotArea>
    <c:legend>
      <c:legendPos val="r"/>
      <c:layout>
        <c:manualLayout>
          <c:xMode val="edge"/>
          <c:yMode val="edge"/>
          <c:x val="0.86313197143752463"/>
          <c:y val="0.37442403032954213"/>
          <c:w val="0.12866980107486378"/>
          <c:h val="0.3576330562846311"/>
        </c:manualLayout>
      </c:layout>
      <c:overlay val="0"/>
      <c:txPr>
        <a:bodyPr/>
        <a:lstStyle/>
        <a:p>
          <a:pPr>
            <a:defRPr sz="900">
              <a:latin typeface="Arial" panose="020B0604020202020204" pitchFamily="34" charset="0"/>
              <a:cs typeface="Arial" panose="020B0604020202020204" pitchFamily="34" charset="0"/>
            </a:defRPr>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050" b="0">
              <a:latin typeface="Arial" panose="020B0604020202020204" pitchFamily="34" charset="0"/>
              <a:cs typeface="Arial" panose="020B0604020202020204" pitchFamily="34" charset="0"/>
            </a:defRPr>
          </a:pPr>
          <a:endParaRPr lang="cs-CZ"/>
        </a:p>
      </c:txPr>
    </c:title>
    <c:autoTitleDeleted val="0"/>
    <c:plotArea>
      <c:layout/>
      <c:barChart>
        <c:barDir val="col"/>
        <c:grouping val="clustered"/>
        <c:varyColors val="0"/>
        <c:ser>
          <c:idx val="0"/>
          <c:order val="0"/>
          <c:tx>
            <c:strRef>
              <c:f>List1!$C$1</c:f>
              <c:strCache>
                <c:ptCount val="1"/>
                <c:pt idx="0">
                  <c:v>sůl (%)</c:v>
                </c:pt>
              </c:strCache>
            </c:strRef>
          </c:tx>
          <c:invertIfNegative val="0"/>
          <c:val>
            <c:numRef>
              <c:f>List1!$C$2:$C$17</c:f>
              <c:numCache>
                <c:formatCode>General</c:formatCode>
                <c:ptCount val="16"/>
                <c:pt idx="0">
                  <c:v>258</c:v>
                </c:pt>
                <c:pt idx="1">
                  <c:v>163</c:v>
                </c:pt>
                <c:pt idx="2">
                  <c:v>223</c:v>
                </c:pt>
                <c:pt idx="3">
                  <c:v>140</c:v>
                </c:pt>
                <c:pt idx="4">
                  <c:v>150</c:v>
                </c:pt>
                <c:pt idx="5">
                  <c:v>185</c:v>
                </c:pt>
                <c:pt idx="6">
                  <c:v>317</c:v>
                </c:pt>
                <c:pt idx="7">
                  <c:v>302</c:v>
                </c:pt>
                <c:pt idx="8">
                  <c:v>185</c:v>
                </c:pt>
                <c:pt idx="9">
                  <c:v>297</c:v>
                </c:pt>
                <c:pt idx="10">
                  <c:v>308</c:v>
                </c:pt>
                <c:pt idx="11">
                  <c:v>255</c:v>
                </c:pt>
                <c:pt idx="12">
                  <c:v>262</c:v>
                </c:pt>
                <c:pt idx="13">
                  <c:v>285</c:v>
                </c:pt>
                <c:pt idx="14">
                  <c:v>293</c:v>
                </c:pt>
                <c:pt idx="15">
                  <c:v>250</c:v>
                </c:pt>
              </c:numCache>
            </c:numRef>
          </c:val>
        </c:ser>
        <c:dLbls>
          <c:showLegendKey val="0"/>
          <c:showVal val="0"/>
          <c:showCatName val="0"/>
          <c:showSerName val="0"/>
          <c:showPercent val="0"/>
          <c:showBubbleSize val="0"/>
        </c:dLbls>
        <c:gapWidth val="150"/>
        <c:axId val="71702400"/>
        <c:axId val="71703936"/>
      </c:barChart>
      <c:catAx>
        <c:axId val="71702400"/>
        <c:scaling>
          <c:orientation val="minMax"/>
        </c:scaling>
        <c:delete val="0"/>
        <c:axPos val="b"/>
        <c:majorTickMark val="out"/>
        <c:minorTickMark val="none"/>
        <c:tickLblPos val="nextTo"/>
        <c:crossAx val="71703936"/>
        <c:crosses val="autoZero"/>
        <c:auto val="1"/>
        <c:lblAlgn val="ctr"/>
        <c:lblOffset val="100"/>
        <c:noMultiLvlLbl val="0"/>
      </c:catAx>
      <c:valAx>
        <c:axId val="71703936"/>
        <c:scaling>
          <c:orientation val="minMax"/>
        </c:scaling>
        <c:delete val="0"/>
        <c:axPos val="l"/>
        <c:majorGridlines/>
        <c:numFmt formatCode="General" sourceLinked="1"/>
        <c:majorTickMark val="out"/>
        <c:minorTickMark val="none"/>
        <c:tickLblPos val="nextTo"/>
        <c:crossAx val="7170240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xPr>
        <a:bodyPr/>
        <a:lstStyle/>
        <a:p>
          <a:pPr>
            <a:defRPr sz="1100" b="0">
              <a:latin typeface="Arial" panose="020B0604020202020204" pitchFamily="34" charset="0"/>
              <a:cs typeface="Arial" panose="020B0604020202020204" pitchFamily="34" charset="0"/>
            </a:defRPr>
          </a:pPr>
          <a:endParaRPr lang="cs-CZ"/>
        </a:p>
      </c:txPr>
    </c:title>
    <c:autoTitleDeleted val="0"/>
    <c:plotArea>
      <c:layout/>
      <c:barChart>
        <c:barDir val="col"/>
        <c:grouping val="clustered"/>
        <c:varyColors val="0"/>
        <c:ser>
          <c:idx val="0"/>
          <c:order val="0"/>
          <c:tx>
            <c:strRef>
              <c:f>List1!$C$25</c:f>
              <c:strCache>
                <c:ptCount val="1"/>
                <c:pt idx="0">
                  <c:v>sůl (%)</c:v>
                </c:pt>
              </c:strCache>
            </c:strRef>
          </c:tx>
          <c:invertIfNegative val="0"/>
          <c:val>
            <c:numRef>
              <c:f>List1!$C$26:$C$49</c:f>
              <c:numCache>
                <c:formatCode>General</c:formatCode>
                <c:ptCount val="24"/>
                <c:pt idx="0">
                  <c:v>272</c:v>
                </c:pt>
                <c:pt idx="1">
                  <c:v>207</c:v>
                </c:pt>
                <c:pt idx="2">
                  <c:v>190</c:v>
                </c:pt>
                <c:pt idx="3">
                  <c:v>148</c:v>
                </c:pt>
                <c:pt idx="4">
                  <c:v>165</c:v>
                </c:pt>
                <c:pt idx="5">
                  <c:v>217</c:v>
                </c:pt>
                <c:pt idx="6">
                  <c:v>175</c:v>
                </c:pt>
                <c:pt idx="7">
                  <c:v>168</c:v>
                </c:pt>
                <c:pt idx="8">
                  <c:v>175</c:v>
                </c:pt>
                <c:pt idx="9">
                  <c:v>252</c:v>
                </c:pt>
                <c:pt idx="10">
                  <c:v>275</c:v>
                </c:pt>
                <c:pt idx="11">
                  <c:v>238</c:v>
                </c:pt>
                <c:pt idx="12">
                  <c:v>318</c:v>
                </c:pt>
                <c:pt idx="13">
                  <c:v>217</c:v>
                </c:pt>
                <c:pt idx="14">
                  <c:v>242</c:v>
                </c:pt>
                <c:pt idx="15">
                  <c:v>208</c:v>
                </c:pt>
                <c:pt idx="16">
                  <c:v>208</c:v>
                </c:pt>
                <c:pt idx="17">
                  <c:v>288</c:v>
                </c:pt>
                <c:pt idx="18">
                  <c:v>280</c:v>
                </c:pt>
                <c:pt idx="19">
                  <c:v>312</c:v>
                </c:pt>
                <c:pt idx="20">
                  <c:v>283</c:v>
                </c:pt>
                <c:pt idx="21">
                  <c:v>260</c:v>
                </c:pt>
                <c:pt idx="22">
                  <c:v>352</c:v>
                </c:pt>
                <c:pt idx="23">
                  <c:v>302</c:v>
                </c:pt>
              </c:numCache>
            </c:numRef>
          </c:val>
        </c:ser>
        <c:dLbls>
          <c:showLegendKey val="0"/>
          <c:showVal val="0"/>
          <c:showCatName val="0"/>
          <c:showSerName val="0"/>
          <c:showPercent val="0"/>
          <c:showBubbleSize val="0"/>
        </c:dLbls>
        <c:gapWidth val="150"/>
        <c:axId val="71728512"/>
        <c:axId val="71734400"/>
      </c:barChart>
      <c:catAx>
        <c:axId val="71728512"/>
        <c:scaling>
          <c:orientation val="minMax"/>
        </c:scaling>
        <c:delete val="0"/>
        <c:axPos val="b"/>
        <c:majorTickMark val="out"/>
        <c:minorTickMark val="none"/>
        <c:tickLblPos val="nextTo"/>
        <c:crossAx val="71734400"/>
        <c:crosses val="autoZero"/>
        <c:auto val="1"/>
        <c:lblAlgn val="ctr"/>
        <c:lblOffset val="100"/>
        <c:noMultiLvlLbl val="0"/>
      </c:catAx>
      <c:valAx>
        <c:axId val="71734400"/>
        <c:scaling>
          <c:orientation val="minMax"/>
        </c:scaling>
        <c:delete val="0"/>
        <c:axPos val="l"/>
        <c:majorGridlines/>
        <c:numFmt formatCode="General" sourceLinked="1"/>
        <c:majorTickMark val="out"/>
        <c:minorTickMark val="none"/>
        <c:tickLblPos val="nextTo"/>
        <c:crossAx val="717285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b="0">
              <a:latin typeface="Arial" panose="020B0604020202020204" pitchFamily="34" charset="0"/>
              <a:cs typeface="Arial" panose="020B0604020202020204" pitchFamily="34" charset="0"/>
            </a:defRPr>
          </a:pPr>
          <a:endParaRPr lang="cs-CZ"/>
        </a:p>
      </c:txPr>
    </c:title>
    <c:autoTitleDeleted val="0"/>
    <c:plotArea>
      <c:layout/>
      <c:barChart>
        <c:barDir val="col"/>
        <c:grouping val="clustered"/>
        <c:varyColors val="0"/>
        <c:ser>
          <c:idx val="0"/>
          <c:order val="0"/>
          <c:tx>
            <c:strRef>
              <c:f>List1!$D$1</c:f>
              <c:strCache>
                <c:ptCount val="1"/>
                <c:pt idx="0">
                  <c:v>vláknina (%)</c:v>
                </c:pt>
              </c:strCache>
            </c:strRef>
          </c:tx>
          <c:invertIfNegative val="0"/>
          <c:val>
            <c:numRef>
              <c:f>List1!$D$2:$D$17</c:f>
              <c:numCache>
                <c:formatCode>General</c:formatCode>
                <c:ptCount val="16"/>
                <c:pt idx="0">
                  <c:v>89</c:v>
                </c:pt>
                <c:pt idx="1">
                  <c:v>100</c:v>
                </c:pt>
                <c:pt idx="2">
                  <c:v>137</c:v>
                </c:pt>
                <c:pt idx="3">
                  <c:v>74</c:v>
                </c:pt>
                <c:pt idx="4">
                  <c:v>94</c:v>
                </c:pt>
                <c:pt idx="5">
                  <c:v>85</c:v>
                </c:pt>
                <c:pt idx="6">
                  <c:v>102</c:v>
                </c:pt>
                <c:pt idx="7">
                  <c:v>101</c:v>
                </c:pt>
                <c:pt idx="8">
                  <c:v>50</c:v>
                </c:pt>
                <c:pt idx="9">
                  <c:v>92</c:v>
                </c:pt>
                <c:pt idx="10">
                  <c:v>91</c:v>
                </c:pt>
                <c:pt idx="11">
                  <c:v>120</c:v>
                </c:pt>
                <c:pt idx="12">
                  <c:v>69</c:v>
                </c:pt>
                <c:pt idx="13">
                  <c:v>85</c:v>
                </c:pt>
                <c:pt idx="14">
                  <c:v>91</c:v>
                </c:pt>
                <c:pt idx="15">
                  <c:v>88</c:v>
                </c:pt>
              </c:numCache>
            </c:numRef>
          </c:val>
        </c:ser>
        <c:dLbls>
          <c:showLegendKey val="0"/>
          <c:showVal val="0"/>
          <c:showCatName val="0"/>
          <c:showSerName val="0"/>
          <c:showPercent val="0"/>
          <c:showBubbleSize val="0"/>
        </c:dLbls>
        <c:gapWidth val="150"/>
        <c:axId val="71758208"/>
        <c:axId val="71759744"/>
      </c:barChart>
      <c:catAx>
        <c:axId val="71758208"/>
        <c:scaling>
          <c:orientation val="minMax"/>
        </c:scaling>
        <c:delete val="0"/>
        <c:axPos val="b"/>
        <c:majorTickMark val="out"/>
        <c:minorTickMark val="none"/>
        <c:tickLblPos val="nextTo"/>
        <c:crossAx val="71759744"/>
        <c:crosses val="autoZero"/>
        <c:auto val="1"/>
        <c:lblAlgn val="ctr"/>
        <c:lblOffset val="100"/>
        <c:noMultiLvlLbl val="0"/>
      </c:catAx>
      <c:valAx>
        <c:axId val="71759744"/>
        <c:scaling>
          <c:orientation val="minMax"/>
        </c:scaling>
        <c:delete val="0"/>
        <c:axPos val="l"/>
        <c:majorGridlines/>
        <c:numFmt formatCode="General" sourceLinked="1"/>
        <c:majorTickMark val="out"/>
        <c:minorTickMark val="none"/>
        <c:tickLblPos val="nextTo"/>
        <c:crossAx val="71758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9344-4C3A-4076-9C15-ECD95D93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5520</Words>
  <Characters>32568</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Přibylová Eva Ing.</dc:creator>
  <cp:lastModifiedBy>Přibylová Eva Ing.</cp:lastModifiedBy>
  <cp:revision>2</cp:revision>
  <cp:lastPrinted>2016-07-07T10:12:00Z</cp:lastPrinted>
  <dcterms:created xsi:type="dcterms:W3CDTF">2016-07-20T07:49:00Z</dcterms:created>
  <dcterms:modified xsi:type="dcterms:W3CDTF">2016-07-20T07:49:00Z</dcterms:modified>
</cp:coreProperties>
</file>