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5"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411"/>
      </w:tblGrid>
      <w:tr>
        <w:trPr>
          <w:trHeight w:val="680" w:hRule="atLeast"/>
        </w:trPr>
        <w:tc>
          <w:tcPr>
            <w:tcW w:w="9411" w:type="dxa"/>
          </w:tcPr>
          <w:tbl>
            <w:tblPr>
              <w:tblCellMar>
                <w:top w:w="0" w:type="dxa"/>
                <w:left w:w="0" w:type="dxa"/>
                <w:bottom w:w="0" w:type="dxa"/>
                <w:right w:w="0" w:type="dxa"/>
              </w:tblCellMar>
            </w:tblPr>
            <w:tblGrid>
              <w:gridCol w:w="9411"/>
            </w:tblGrid>
            <w:tr>
              <w:trPr>
                <w:trHeight w:val="60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34"/>
                    </w:rPr>
                    <w:t xml:space="preserve">Vybrané indikátory stavu a šíření epidemie a denní souhrn testů na COVID-19 k 03. 12. 2022</w:t>
                  </w:r>
                </w:p>
              </w:tc>
            </w:tr>
          </w:tbl>
          <w:p>
            <w:pPr>
              <w:spacing w:after="0" w:line="240" w:lineRule="auto"/>
            </w:pPr>
          </w:p>
        </w:tc>
      </w:tr>
      <w:tr>
        <w:trPr>
          <w:trHeight w:val="7002" w:hRule="atLeast"/>
        </w:trPr>
        <w:tc>
          <w:tcPr>
            <w:tcW w:w="9411" w:type="dxa"/>
          </w:tcPr>
          <w:tbl>
            <w:tblPr>
              <w:tblCellMar>
                <w:top w:w="0" w:type="dxa"/>
                <w:left w:w="0" w:type="dxa"/>
                <w:bottom w:w="0" w:type="dxa"/>
                <w:right w:w="0" w:type="dxa"/>
              </w:tblCellMar>
            </w:tblPr>
            <w:tblGrid>
              <w:gridCol w:w="9411"/>
            </w:tblGrid>
            <w:tr>
              <w:trPr>
                <w:trHeight w:val="6924"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2"/>
                    </w:rPr>
                    <w:t xml:space="preserve">Ministerstvo zdravotnictví denně aktualizuje souhrn provedených testů na COVID-19. Detaily včetně publikovaných datových sad jsou k dispozici na adrese </w:t>
                  </w:r>
                  <w:r>
                    <w:rPr>
                      <w:rFonts w:ascii="Arial" w:hAnsi="Arial" w:eastAsia="Arial"/>
                      <w:b/>
                      <w:color w:val="0563C1"/>
                      <w:sz w:val="22"/>
                      <w:u w:val="single"/>
                    </w:rPr>
                    <w:t xml:space="preserve">https://onemocneni-aktualne.mzcr.cz/covid-19</w:t>
                  </w:r>
                  <w:r>
                    <w:rPr>
                      <w:rFonts w:ascii="Arial" w:hAnsi="Arial" w:eastAsia="Arial"/>
                      <w:b/>
                      <w:color w:val="000000"/>
                      <w:sz w:val="22"/>
                    </w:rPr>
                    <w:t xml:space="preserve">. Tisková zpráva je doplněna následujícími datovými přílohami, které jsou generovány denně:</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color w:val="000000"/>
                      <w:sz w:val="22"/>
                    </w:rPr>
                    <w:t xml:space="preserve"> </w:t>
                  </w:r>
                  <w:r>
                    <w:rPr>
                      <w:rFonts w:ascii="Arial" w:hAnsi="Arial" w:eastAsia="Arial"/>
                      <w:b/>
                      <w:color w:val="000000"/>
                      <w:sz w:val="22"/>
                    </w:rPr>
                    <w:t xml:space="preserve">Příloha 1 - Denní souhrn nové případy: </w:t>
                  </w:r>
                  <w:r>
                    <w:rPr>
                      <w:rFonts w:ascii="Arial" w:hAnsi="Arial" w:eastAsia="Arial"/>
                      <w:color w:val="000000"/>
                      <w:sz w:val="22"/>
                    </w:rPr>
                    <w:t xml:space="preserve">komplexní shrnutí nových záchytů nákazy COVID-19 za poslední den a týden. Srovnání situace v jednotlivých krajích a vyčíslení posledního vývoje v klíčových indikátorech stavu epidemie jako je trend v počtech nově potvrzených případů, objem realizovaných testů a jejich relativní pozitivita, odhad reprodukčního čísla vývoj zátěže nemocnic, a další.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2 –</w:t>
                  </w:r>
                  <w:r>
                    <w:rPr>
                      <w:rFonts w:ascii="Arial" w:hAnsi="Arial" w:eastAsia="Arial"/>
                      <w:color w:val="000000"/>
                      <w:sz w:val="22"/>
                    </w:rPr>
                    <w:t xml:space="preserve"> </w:t>
                  </w:r>
                  <w:r>
                    <w:rPr>
                      <w:rFonts w:ascii="Arial" w:hAnsi="Arial" w:eastAsia="Arial"/>
                      <w:b/>
                      <w:color w:val="000000"/>
                      <w:sz w:val="22"/>
                    </w:rPr>
                    <w:t xml:space="preserve">Komplexní data, okresy a kraje:</w:t>
                  </w:r>
                  <w:r>
                    <w:rPr>
                      <w:rFonts w:ascii="Arial" w:hAnsi="Arial" w:eastAsia="Arial"/>
                      <w:color w:val="000000"/>
                      <w:sz w:val="22"/>
                    </w:rPr>
                    <w:t xml:space="preserve"> denně aktualizované vyčíslení více než 60 parametrů popisujících různé aspekty stavu a vývoje epidemie (virová zátěž populace, výsledky testů, zátěž nemocnic, zásah potenciálně zranitelných skupin obyvatel, apod.). Parametry jsou publikovány pro jednotlivé kraje i okresy.</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3 – Testy, denní souhrn: </w:t>
                  </w:r>
                  <w:r>
                    <w:rPr>
                      <w:rFonts w:ascii="Arial" w:hAnsi="Arial" w:eastAsia="Arial"/>
                      <w:color w:val="000000"/>
                      <w:sz w:val="22"/>
                    </w:rPr>
                    <w:t xml:space="preserve">příloha shrnující počet provedených testů dle jejich typu a zejména indikace, počty pozitivních záchytů a relativní pozitivita výsledků.</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4 – Nově potvrzené případy ve vztahu k vakcinaci: </w:t>
                  </w:r>
                  <w:r>
                    <w:rPr>
                      <w:rFonts w:ascii="Arial" w:hAnsi="Arial" w:eastAsia="Arial"/>
                      <w:color w:val="000000"/>
                      <w:sz w:val="22"/>
                    </w:rPr>
                    <w:t xml:space="preserve">datová příloha shrnující výskyt nákaz u neočkovaných osob, u osob s nedokončeným a dokončeným očkováním. Vedle počtu nově potvrzených případů je hodnocen i výskyt nákaz po vakcinaci u populace ve věku 65+ a 75+, dále počet nákaz s těžkým průběhem opět ve vztahu k očkování. Nově je implementováno i hodnocení posilujících dávek očkování.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5 – Nákazy a hospitalizace – denní data: </w:t>
                  </w:r>
                  <w:r>
                    <w:rPr>
                      <w:rFonts w:ascii="Arial" w:hAnsi="Arial" w:eastAsia="Arial"/>
                      <w:color w:val="000000"/>
                      <w:sz w:val="22"/>
                    </w:rPr>
                    <w:t xml:space="preserve">datový souhrn počtu nově diagnostikovaných případů COVID-19 a hospitalizovaných pacientů s COVID-19, včetně dělení dle věkových kategorií.</w:t>
                  </w:r>
                </w:p>
                <w:p>
                  <w:pPr>
                    <w:spacing w:after="0" w:line="240" w:lineRule="auto"/>
                    <w:ind w:left="1129" w:hanging="359"/>
                    <w:jc w:val="left"/>
                  </w:pPr>
                  <w:r>
                    <w:rPr>
                      <w:rFonts w:ascii="Symbol" w:hAnsi="Symbol" w:eastAsia="Symbol"/>
                      <w:color w:val="000000"/>
                      <w:sz w:val="22"/>
                    </w:rPr>
                    <w:t xml:space="preserve">·</w:t>
                  </w:r>
                  <w:r>
                    <w:rPr>
                      <w:rFonts w:ascii="Times New Roman" w:hAnsi="Times New Roman" w:eastAsia="Times New Roman"/>
                      <w:color w:val="000000"/>
                      <w:sz w:val="14"/>
                    </w:rPr>
                    <w:t xml:space="preserve">        </w:t>
                  </w:r>
                  <w:r>
                    <w:rPr>
                      <w:rFonts w:ascii="Arial" w:hAnsi="Arial" w:eastAsia="Arial"/>
                      <w:b/>
                      <w:color w:val="000000"/>
                      <w:sz w:val="22"/>
                    </w:rPr>
                    <w:t xml:space="preserve">Příloha 6 – Nákazy a reinfekce – denní data: </w:t>
                  </w:r>
                  <w:r>
                    <w:rPr>
                      <w:rFonts w:ascii="Arial" w:hAnsi="Arial" w:eastAsia="Arial"/>
                      <w:color w:val="000000"/>
                      <w:sz w:val="22"/>
                    </w:rPr>
                    <w:t xml:space="preserve">datový souhrn počtu nově diagnostikovaných případů COVID-19 a hospitalizovaných pacientů s COVID-19 v členění zohledňujícím předchozí prodělání infekce</w:t>
                  </w:r>
                </w:p>
              </w:tc>
            </w:tr>
          </w:tbl>
          <w:p>
            <w:pPr>
              <w:spacing w:after="0" w:line="240" w:lineRule="auto"/>
            </w:pPr>
          </w:p>
        </w:tc>
      </w:tr>
      <w:tr>
        <w:trPr>
          <w:trHeight w:val="27" w:hRule="atLeast"/>
        </w:trPr>
        <w:tc>
          <w:tcPr>
            <w:tcW w:w="9411" w:type="dxa"/>
          </w:tcPr>
          <w:p>
            <w:pPr>
              <w:pStyle w:val="EmptyCellLayoutStyle"/>
              <w:spacing w:after="0" w:line="240" w:lineRule="auto"/>
            </w:pPr>
          </w:p>
        </w:tc>
      </w:tr>
      <w:tr>
        <w:trPr>
          <w:trHeight w:val="2267" w:hRule="atLeast"/>
        </w:trPr>
        <w:tc>
          <w:tcPr>
            <w:tcW w:w="9411" w:type="dxa"/>
          </w:tcPr>
          <w:tbl>
            <w:tblPr>
              <w:tblCellMar>
                <w:top w:w="0" w:type="dxa"/>
                <w:left w:w="0" w:type="dxa"/>
                <w:bottom w:w="0" w:type="dxa"/>
                <w:right w:w="0" w:type="dxa"/>
              </w:tblCellMar>
            </w:tblPr>
            <w:tblGrid>
              <w:gridCol w:w="9411"/>
            </w:tblGrid>
            <w:tr>
              <w:trPr>
                <w:trHeight w:val="218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02. 12. 2022 bylo diagnostikováno  919 případů onemocnění COVID-19, z toho  607 primárních infekcí a  312 suspektních reinfekcí. Průměrný denní počet záchytů minulý týden byl  800 případů (Celkem včetně reinfekcí). Ve srovnání relativní změny mezi týdny dosahuje počet zachycených případů hodnoty 14,6%. Celkový 7denní počet potvrzených případů standardizovaný na 100 tisíc obyvatel dosahuje hodnoty 52,3. Aktuální hodnota reprodukčního čísla je 1.15 (7denní časové okno). Hodnota reprodukčního čísla pro 14denní časové okno je 1.17. Dne 02. 12. 2022 bylo diagnostikováno  331 nových případů ve věku 65+ (36,0% celku) a dále  156 případů ve věku 75+ (17,0% celku).</w:t>
                  </w:r>
                </w:p>
              </w:tc>
            </w:tr>
          </w:tbl>
          <w:p>
            <w:pPr>
              <w:spacing w:after="0" w:line="240" w:lineRule="auto"/>
            </w:pPr>
          </w:p>
        </w:tc>
      </w:tr>
      <w:tr>
        <w:trPr>
          <w:trHeight w:val="1247" w:hRule="atLeast"/>
        </w:trPr>
        <w:tc>
          <w:tcPr>
            <w:tcW w:w="9411" w:type="dxa"/>
          </w:tcPr>
          <w:tbl>
            <w:tblPr>
              <w:tblCellMar>
                <w:top w:w="0" w:type="dxa"/>
                <w:left w:w="0" w:type="dxa"/>
                <w:bottom w:w="0" w:type="dxa"/>
                <w:right w:w="0" w:type="dxa"/>
              </w:tblCellMar>
            </w:tblPr>
            <w:tblGrid>
              <w:gridCol w:w="9411"/>
            </w:tblGrid>
            <w:tr>
              <w:trPr>
                <w:trHeight w:val="116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Zátěž nemocnic: počet nově přijatých pacientů byl ke dni 02. 12. 2022 nahlášen ve výši  51 (z toho  36 ve věku 65+ a  30 ve věku 75+). Celkem nyní registrujeme  639 všech hospitalizovaných pacientů s COVID-19, z toho pacientů na JIP:  41 a z toho pacientů na UPV:  12 a ECMO:  0. Ve srovnání relativní změny mezi týdny dosahuje celkový počet hospitalizovaných pacientů hodnoty 14,2%.</w:t>
                  </w:r>
                </w:p>
              </w:tc>
            </w:tr>
          </w:tbl>
          <w:p>
            <w:pPr>
              <w:spacing w:after="0" w:line="240" w:lineRule="auto"/>
            </w:pPr>
          </w:p>
        </w:tc>
      </w:tr>
      <w:tr>
        <w:trPr>
          <w:trHeight w:val="1870" w:hRule="atLeast"/>
        </w:trPr>
        <w:tc>
          <w:tcPr>
            <w:tcW w:w="9411" w:type="dxa"/>
          </w:tcPr>
          <w:tbl>
            <w:tblPr>
              <w:tblCellMar>
                <w:top w:w="0" w:type="dxa"/>
                <w:left w:w="0" w:type="dxa"/>
                <w:bottom w:w="0" w:type="dxa"/>
                <w:right w:w="0" w:type="dxa"/>
              </w:tblCellMar>
            </w:tblPr>
            <w:tblGrid>
              <w:gridCol w:w="9411"/>
            </w:tblGrid>
            <w:tr>
              <w:trPr>
                <w:trHeight w:val="179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Dne 02. 12. 2022 bylo provedeno 1 602 testů PCR a 3 680 antigenních testů, a to u 5 215 unikátních testovaných osob. Testy s preventivní indikací a prováděné v rámci plošného testování tvořily 11,8% celkového počtu testů. Na celkovém počtu potvrzených  919  diagnóz COVID-19 se AG testy podílely z 60,0%. COVID-19 byl prokázán u  72 asymptomatických osob, z toho v  5 případech na bázi AG testu následně potvrzeného vyšetřením PCR.</w:t>
                  </w:r>
                </w:p>
              </w:tc>
            </w:tr>
          </w:tbl>
          <w:p>
            <w:pPr>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170"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623" w:hRule="atLeast"/>
        </w:trPr>
        <w:tc>
          <w:tcPr>
            <w:tcW w:w="9411" w:type="dxa"/>
          </w:tcPr>
          <w:tbl>
            <w:tblPr>
              <w:tblCellMar>
                <w:top w:w="0" w:type="dxa"/>
                <w:left w:w="0" w:type="dxa"/>
                <w:bottom w:w="0" w:type="dxa"/>
                <w:right w:w="0" w:type="dxa"/>
              </w:tblCellMar>
            </w:tblPr>
            <w:tblGrid>
              <w:gridCol w:w="9411"/>
            </w:tblGrid>
            <w:tr>
              <w:trPr>
                <w:trHeight w:val="54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Relativní pozitivita záchytu nemoci COVID-19 (7denní průměrná pozitivita) dle indikace testů dosahuje těchto hodnot:</w:t>
                  </w:r>
                </w:p>
              </w:tc>
            </w:tr>
          </w:tbl>
          <w:p>
            <w:pPr>
              <w:spacing w:after="0" w:line="240" w:lineRule="auto"/>
            </w:pPr>
          </w:p>
        </w:tc>
      </w:tr>
      <w:tr>
        <w:trPr>
          <w:trHeight w:val="1417" w:hRule="atLeast"/>
        </w:trPr>
        <w:tc>
          <w:tcPr>
            <w:tcW w:w="9411" w:type="dxa"/>
          </w:tcPr>
          <w:tbl>
            <w:tblPr>
              <w:tblCellMar>
                <w:top w:w="0" w:type="dxa"/>
                <w:left w:w="0" w:type="dxa"/>
                <w:bottom w:w="0" w:type="dxa"/>
                <w:right w:w="0" w:type="dxa"/>
              </w:tblCellMar>
            </w:tblPr>
            <w:tblGrid>
              <w:gridCol w:w="9411"/>
            </w:tblGrid>
            <w:tr>
              <w:trPr>
                <w:trHeight w:val="1339"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212529"/>
                      <w:sz w:val="22"/>
                    </w:rPr>
                    <w:t xml:space="preserve">-       diagnostické a klinické indikace testů vykazují pozitivitu 19,5%</w:t>
                  </w:r>
                  <w:r>
                    <w:rPr>
                      <w:rFonts w:ascii="Arial" w:hAnsi="Arial" w:eastAsia="Arial"/>
                      <w:color w:val="212529"/>
                      <w:sz w:val="22"/>
                    </w:rPr>
                    <w:br/>
                    <w:t xml:space="preserve">-       testy s epidemiologickou indikací (rizikové kontakty, trasování) mají pozitivitu 15,3%</w:t>
                  </w:r>
                  <w:r>
                    <w:rPr>
                      <w:rFonts w:ascii="Arial" w:hAnsi="Arial" w:eastAsia="Arial"/>
                      <w:color w:val="212529"/>
                      <w:sz w:val="22"/>
                    </w:rPr>
                    <w:br/>
                    <w:t xml:space="preserve">-       testy s preventivní indikací a při plošném testování dosahují pozitivity 3,5%</w:t>
                  </w:r>
                </w:p>
              </w:tc>
            </w:tr>
          </w:tbl>
          <w:p>
            <w:pPr>
              <w:spacing w:after="0" w:line="240" w:lineRule="auto"/>
            </w:pPr>
          </w:p>
        </w:tc>
      </w:tr>
      <w:tr>
        <w:trPr>
          <w:trHeight w:val="5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rPr>
          <w:trHeight w:val="87" w:hRule="atLeast"/>
        </w:trPr>
        <w:tc>
          <w:tcPr>
            <w:tcW w:w="9411" w:type="dxa"/>
          </w:tcPr>
          <w:p>
            <w:pPr>
              <w:pStyle w:val="EmptyCellLayoutStyle"/>
              <w:spacing w:after="0" w:line="240" w:lineRule="auto"/>
            </w:pPr>
          </w:p>
        </w:tc>
      </w:tr>
      <w:tr>
        <w:trPr>
          <w:trHeight w:val="453" w:hRule="atLeast"/>
        </w:trPr>
        <w:tc>
          <w:tcPr>
            <w:tcW w:w="9411" w:type="dxa"/>
          </w:tcPr>
          <w:tbl>
            <w:tblPr>
              <w:tblCellMar>
                <w:top w:w="0" w:type="dxa"/>
                <w:left w:w="0" w:type="dxa"/>
                <w:bottom w:w="0" w:type="dxa"/>
                <w:right w:w="0" w:type="dxa"/>
              </w:tblCellMar>
            </w:tblPr>
            <w:tblGrid>
              <w:gridCol w:w="9411"/>
            </w:tblGrid>
            <w:tr>
              <w:trPr>
                <w:trHeight w:val="375"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center"/>
                  </w:pPr>
                  <w:r>
                    <w:rPr>
                      <w:rFonts w:ascii="Arial" w:hAnsi="Arial" w:eastAsia="Arial"/>
                      <w:b/>
                      <w:color w:val="000000"/>
                      <w:sz w:val="24"/>
                      <w:u w:val="single"/>
                    </w:rPr>
                    <w:t xml:space="preserve">SUMARIZACE VÝVOJE V KRAJÍCH </w:t>
                  </w:r>
                  <w:r>
                    <w:rPr>
                      <w:rFonts w:ascii="Arial" w:hAnsi="Arial" w:eastAsia="Arial"/>
                      <w:b/>
                      <w:color w:val="000000"/>
                      <w:sz w:val="24"/>
                      <w:u w:val="single"/>
                    </w:rPr>
                    <w:t xml:space="preserve">(všechny případy včetně reinfekcí)</w:t>
                  </w:r>
                </w:p>
              </w:tc>
            </w:tr>
          </w:tbl>
          <w:p>
            <w:pPr>
              <w:spacing w:after="0" w:line="240" w:lineRule="auto"/>
            </w:pPr>
          </w:p>
        </w:tc>
      </w:tr>
      <w:tr>
        <w:trPr>
          <w:trHeight w:val="26" w:hRule="atLeast"/>
        </w:trPr>
        <w:tc>
          <w:tcPr>
            <w:tcW w:w="9411" w:type="dxa"/>
          </w:tcPr>
          <w:p>
            <w:pPr>
              <w:pStyle w:val="EmptyCellLayoutStyle"/>
              <w:spacing w:after="0" w:line="240" w:lineRule="auto"/>
            </w:pPr>
          </w:p>
        </w:tc>
      </w:tr>
      <w:tr>
        <w:trPr/>
        <w:tc>
          <w:tcPr>
            <w:tcW w:w="941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777"/>
              <w:gridCol w:w="1029"/>
              <w:gridCol w:w="1111"/>
              <w:gridCol w:w="954"/>
              <w:gridCol w:w="1416"/>
              <w:gridCol w:w="1711"/>
              <w:gridCol w:w="1410"/>
            </w:tblGrid>
            <w:tr>
              <w:trPr>
                <w:trHeight w:val="262"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Název kraje</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Denní počet nových případů</w:t>
                  </w:r>
                </w:p>
                <w:p>
                  <w:pPr>
                    <w:spacing w:after="0" w:line="240" w:lineRule="auto"/>
                    <w:jc w:val="center"/>
                  </w:pPr>
                  <w:r>
                    <w:rPr>
                      <w:rFonts w:ascii="Arial" w:hAnsi="Arial" w:eastAsia="Arial"/>
                      <w:b/>
                      <w:color w:val="000000"/>
                      <w:sz w:val="16"/>
                    </w:rPr>
                    <w:t xml:space="preserve">(přepočet</w:t>
                  </w:r>
                </w:p>
                <w:p>
                  <w:pPr>
                    <w:spacing w:after="0" w:line="240" w:lineRule="auto"/>
                    <w:jc w:val="center"/>
                  </w:pPr>
                  <w:r>
                    <w:rPr>
                      <w:rFonts w:ascii="Arial" w:hAnsi="Arial" w:eastAsia="Arial"/>
                      <w:b/>
                      <w:color w:val="000000"/>
                      <w:sz w:val="16"/>
                    </w:rPr>
                    <w:t xml:space="preserve">na  100tis.obyv.)</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nových případů na 100 tis. obyv.</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Odhad R</w:t>
                  </w:r>
                </w:p>
                <w:p>
                  <w:pPr>
                    <w:spacing w:after="0" w:line="240" w:lineRule="auto"/>
                    <w:jc w:val="center"/>
                  </w:pPr>
                  <w:r>
                    <w:rPr>
                      <w:rFonts w:ascii="Arial" w:hAnsi="Arial" w:eastAsia="Arial"/>
                      <w:b/>
                      <w:color w:val="000000"/>
                      <w:sz w:val="16"/>
                    </w:rPr>
                    <w:t xml:space="preserve">ze 7denních časových úseků</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14denní počet nových případů na 100 tis. obyv.</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počet testů na 100tis. obyv.</w:t>
                  </w:r>
                </w:p>
                <w:p>
                  <w:pPr>
                    <w:spacing w:after="0" w:line="240" w:lineRule="auto"/>
                    <w:jc w:val="center"/>
                  </w:pPr>
                  <w:r>
                    <w:rPr>
                      <w:rFonts w:ascii="Arial" w:hAnsi="Arial" w:eastAsia="Arial"/>
                      <w:b/>
                      <w:color w:val="000000"/>
                      <w:sz w:val="16"/>
                    </w:rPr>
                    <w:t xml:space="preserve">(Dg+Epi / Prev)*</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7denní relativní pozitivita indikovaných (Dg/Epi) testů v %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Hlavní město Praha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132 (9.9)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66.3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124.0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303.5 / 95.7</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20.4 % / 15.8 %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Jihomoravský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115 (9.6)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59.0</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117.5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273.6 / 27.8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22.2 % / 15.8 %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Moravskoslezský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135 (11.3)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57.3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99.9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251.6 / 34.4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22.5 % / 18.4 %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Královéhradecký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49 (8.9)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57.2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1.20</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104.9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322.6 / 28.3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18.1 % / 14.6 %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Středočeský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100 (7.2)</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98.9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251.1 / 52.1</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20.8 % / 16.5 %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Pardubický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42 (8.0)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49.9</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95.4</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294.2 / 34.8</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17.8 % / 11.8 %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Kraj Vysočina</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61 (12.0)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1.33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86.5</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232.5 / 83.9</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18.9 % / 15.3 %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Zlínský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46 (7.9)</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49.1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1.28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87.1</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251.0 / 40.5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20.7 % / 14.4 %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Jihočeský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54 (8.4)</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47.1</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87.0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246.8 / 24.4</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18.8 % / 13.4 %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Plzeňský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46 (7.8)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45.5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88.3</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278.7 / 68.5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15.8 % / 10.7 %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Ústecký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49 (6.0)</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44.2</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1.09</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84.6</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261.6 / 25.5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17.4 % / 13.8 %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Liberecký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30 (6.8)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42.7</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0.96</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87.7</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212.0 / 20.3</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19.9 % / 18.5 %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Olomoucký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46 (7.3)</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39.6</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1.18</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73.0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230.3 / 38.2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16.2 % / 13.9 %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Karlovarský kraj</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14 (4.8)</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37.5</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1.13</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71.9</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188.2 / 24.2</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17.3 % / 19.0 %</w:t>
                  </w:r>
                </w:p>
              </w:tc>
            </w:tr>
            <w:tr>
              <w:trPr>
                <w:trHeight w:val="205" w:hRule="atLeast"/>
              </w:trPr>
              <w:tc>
                <w:tcPr>
                  <w:tcW w:w="177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16"/>
                    </w:rPr>
                    <w:t xml:space="preserve">ČR</w:t>
                  </w:r>
                </w:p>
              </w:tc>
              <w:tc>
                <w:tcPr>
                  <w:tcW w:w="10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16"/>
                    </w:rPr>
                    <w:t xml:space="preserve">919 (8.6)</w:t>
                  </w:r>
                </w:p>
              </w:tc>
              <w:tc>
                <w:tcPr>
                  <w:tcW w:w="11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52.3</w:t>
                  </w:r>
                </w:p>
              </w:tc>
              <w:tc>
                <w:tcPr>
                  <w:tcW w:w="954"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1.15</w:t>
                  </w:r>
                </w:p>
              </w:tc>
              <w:tc>
                <w:tcPr>
                  <w:tcW w:w="141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98.0</w:t>
                  </w:r>
                </w:p>
              </w:tc>
              <w:tc>
                <w:tcPr>
                  <w:tcW w:w="1711"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263.6 / 46.5</w:t>
                  </w:r>
                </w:p>
              </w:tc>
              <w:tc>
                <w:tcPr>
                  <w:tcW w:w="141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16"/>
                    </w:rPr>
                    <w:t xml:space="preserve">19.5 % / 15.3 %</w:t>
                  </w: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411"/>
      </w:tblGrid>
      <w:tr>
        <w:trPr>
          <w:trHeight w:val="56" w:hRule="atLeast"/>
        </w:trPr>
        <w:tc>
          <w:tcPr>
            <w:tcW w:w="9411" w:type="dxa"/>
          </w:tcPr>
          <w:p>
            <w:pPr>
              <w:pStyle w:val="EmptyCellLayoutStyle"/>
              <w:spacing w:after="0" w:line="240" w:lineRule="auto"/>
            </w:pPr>
          </w:p>
        </w:tc>
      </w:tr>
      <w:tr>
        <w:trPr>
          <w:trHeight w:val="1133" w:hRule="atLeast"/>
        </w:trPr>
        <w:tc>
          <w:tcPr>
            <w:tcW w:w="9411" w:type="dxa"/>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b/>
                      <w:color w:val="000000"/>
                      <w:sz w:val="28"/>
                    </w:rPr>
                    <w:t xml:space="preserve">Přehled provedených testů</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r>
      <w:tr>
        <w:trPr>
          <w:trHeight w:val="340" w:hRule="atLeast"/>
        </w:trPr>
        <w:tc>
          <w:tcPr>
            <w:tcW w:w="9411" w:type="dxa"/>
          </w:tcPr>
          <w:tbl>
            <w:tblPr>
              <w:tblCellMar>
                <w:top w:w="0" w:type="dxa"/>
                <w:left w:w="0" w:type="dxa"/>
                <w:bottom w:w="0" w:type="dxa"/>
                <w:right w:w="0" w:type="dxa"/>
              </w:tblCellMar>
            </w:tblPr>
            <w:tblGrid>
              <w:gridCol w:w="9411"/>
            </w:tblGrid>
            <w:tr>
              <w:trPr>
                <w:trHeight w:val="262" w:hRule="atLeast"/>
              </w:trPr>
              <w:tc>
                <w:tcPr>
                  <w:tcW w:w="9411"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Denní souhrn za 02. 12. 2022                                                                      /generováno 03.12.2022/</w:t>
                  </w:r>
                </w:p>
              </w:tc>
            </w:tr>
          </w:tbl>
          <w:p>
            <w:pPr>
              <w:spacing w:after="0" w:line="240" w:lineRule="auto"/>
            </w:pPr>
          </w:p>
        </w:tc>
      </w:tr>
      <w:tr>
        <w:trPr/>
        <w:tc>
          <w:tcPr>
            <w:tcW w:w="941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43"/>
              <w:gridCol w:w="1412"/>
              <w:gridCol w:w="1529"/>
              <w:gridCol w:w="1412"/>
              <w:gridCol w:w="1412"/>
            </w:tblGrid>
            <w:tr>
              <w:trPr>
                <w:trHeight w:val="801"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provedených (nahlášených) testů</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02. 12.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01.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otestovaných osob*</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testů</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1 602</w:t>
                  </w:r>
                </w:p>
              </w:tc>
              <w:tc>
                <w:tcPr>
                  <w:tcW w:w="1529"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1 626</w:t>
                  </w:r>
                </w:p>
              </w:tc>
              <w:tc>
                <w:tcPr>
                  <w:tcW w:w="1412" w:type="dxa"/>
                  <w:tcBorders>
                    <w:top w:val="single"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rPr>
                      <w:sz w:val="0"/>
                    </w:rPr>
                  </w:pP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(Ag) testy</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3 680</w:t>
                  </w:r>
                </w:p>
              </w:tc>
              <w:tc>
                <w:tcPr>
                  <w:tcW w:w="1529"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5 215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3 884</w:t>
                  </w:r>
                </w:p>
              </w:tc>
              <w:tc>
                <w:tcPr>
                  <w:tcW w:w="1412" w:type="dxa"/>
                  <w:tcBorders>
                    <w:top w:val="nil" w:color="000000" w:sz="7"/>
                    <w:left w:val="single" w:color="000000" w:sz="7"/>
                    <w:bottom w:val="nil"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5 440</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Počet pozitivních diagnóz COVID-19</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02. 12.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01.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919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897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249</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27,1%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258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28,8%</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 asymptomatičtí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67</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7,3%</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symptomatičtí pacienti</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546</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59,4%</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557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62,1%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Ag – asymptomatičtí pacienti /konfirmace PCR/**</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 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testů dle indikace</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02. 12. 2022</w:t>
                  </w:r>
                </w:p>
              </w:tc>
              <w:tc>
                <w:tcPr>
                  <w:tcW w:w="1529"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01.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v %</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Celkem</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5 282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5 510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100%</w:t>
                  </w:r>
                </w:p>
              </w:tc>
            </w:tr>
            <w:tr>
              <w:trPr>
                <w:trHeight w:val="261"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3 392</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64,2%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3 387</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61,5%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1 164</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1 220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22,1%</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625</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821</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14,9%</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Ostatní</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101</w:t>
                  </w:r>
                </w:p>
              </w:tc>
              <w:tc>
                <w:tcPr>
                  <w:tcW w:w="152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82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487"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Relativní pozitivita testů dle indikace testu***</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02. 12.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01.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7denní průměr k 01. 12. 2022</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Diagnostická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19,3%</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20,0%</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Epidemiologická indikace</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15,5%</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Preventivní a plošné testování</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3,8%</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r>
            <w:tr>
              <w:trPr>
                <w:trHeight w:val="90" w:hRule="atLeast"/>
              </w:trPr>
              <w:tc>
                <w:tcPr>
                  <w:tcW w:w="3643"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rPr>
                      <w:sz w:val="0"/>
                    </w:rPr>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529"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pPr>
                </w:p>
              </w:tc>
              <w:tc>
                <w:tcPr>
                  <w:tcW w:w="1412"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r>
            <w:tr>
              <w:trPr>
                <w:trHeight w:val="232" w:hRule="atLeast"/>
              </w:trPr>
              <w:tc>
                <w:tcPr>
                  <w:tcW w:w="3643"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left"/>
                  </w:pPr>
                  <w:r>
                    <w:rPr>
                      <w:rFonts w:ascii="Arial" w:hAnsi="Arial" w:eastAsia="Arial"/>
                      <w:color w:val="000000"/>
                      <w:sz w:val="20"/>
                    </w:rPr>
                    <w:t xml:space="preserve">Počet evidovaných testů</w:t>
                  </w:r>
                </w:p>
              </w:tc>
              <w:tc>
                <w:tcPr>
                  <w:tcW w:w="1412" w:type="dxa"/>
                  <w:hMerge w:val="restart"/>
                  <w:tcBorders>
                    <w:top w:val="single" w:color="000000" w:sz="7"/>
                    <w:left w:val="single" w:color="000000" w:sz="7"/>
                    <w:bottom w:val="single" w:color="000000" w:sz="7"/>
                    <w:right w:val="nil"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02. 12. 2022</w:t>
                  </w:r>
                </w:p>
              </w:tc>
              <w:tc>
                <w:tcPr>
                  <w:tcW w:w="1529" w:type="dxa"/>
                  <w:hMerge w:val="continue"/>
                  <w:tcBorders>
                    <w:top w:val="single" w:color="000000" w:sz="7"/>
                    <w:left w:val="nil"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Za 7 dní k 01. 12. 2022</w:t>
                  </w:r>
                </w:p>
              </w:tc>
              <w:tc>
                <w:tcPr>
                  <w:tcW w:w="1412"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color w:val="000000"/>
                      <w:sz w:val="20"/>
                    </w:rPr>
                    <w:t xml:space="preserve">Celkem v databázi</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PCR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10 704</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11 082</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4 434 485</w:t>
                  </w:r>
                </w:p>
              </w:tc>
            </w:tr>
            <w:tr>
              <w:trPr>
                <w:trHeight w:val="232" w:hRule="atLeast"/>
              </w:trPr>
              <w:tc>
                <w:tcPr>
                  <w:tcW w:w="364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Antigenní testy</w:t>
                  </w:r>
                </w:p>
              </w:tc>
              <w:tc>
                <w:tcPr>
                  <w:tcW w:w="1412"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23 122</w:t>
                  </w:r>
                </w:p>
              </w:tc>
              <w:tc>
                <w:tcPr>
                  <w:tcW w:w="1529"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 22 709</w:t>
                  </w:r>
                </w:p>
              </w:tc>
              <w:tc>
                <w:tcPr>
                  <w:tcW w:w="14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t xml:space="preserve">34 163 281</w:t>
                  </w:r>
                </w:p>
              </w:tc>
            </w:tr>
          </w:tbl>
          <w:p>
            <w:pPr>
              <w:spacing w:after="0" w:line="240" w:lineRule="auto"/>
            </w:pPr>
          </w:p>
        </w:tc>
      </w:tr>
      <w:tr>
        <w:trPr>
          <w:trHeight w:val="74" w:hRule="atLeast"/>
        </w:trPr>
        <w:tc>
          <w:tcPr>
            <w:tcW w:w="9411" w:type="dxa"/>
          </w:tcPr>
          <w:p>
            <w:pPr>
              <w:pStyle w:val="EmptyCellLayoutStyle"/>
              <w:spacing w:after="0" w:line="240" w:lineRule="auto"/>
            </w:pPr>
          </w:p>
        </w:tc>
      </w:tr>
      <w:tr>
        <w:trPr>
          <w:trHeight w:val="1530" w:hRule="atLeast"/>
        </w:trPr>
        <w:tc>
          <w:tcPr>
            <w:tcW w:w="9411" w:type="dxa"/>
          </w:tcPr>
          <w:tbl>
            <w:tblPr>
              <w:tblCellMar>
                <w:top w:w="0" w:type="dxa"/>
                <w:left w:w="0" w:type="dxa"/>
                <w:bottom w:w="0" w:type="dxa"/>
                <w:right w:w="0" w:type="dxa"/>
              </w:tblCellMar>
            </w:tblPr>
            <w:tblGrid>
              <w:gridCol w:w="9411"/>
            </w:tblGrid>
            <w:tr>
              <w:trPr>
                <w:trHeight w:val="145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i/>
                      <w:color w:val="000000"/>
                      <w:sz w:val="20"/>
                    </w:rPr>
                    <w:t xml:space="preserve">* Jeden klient může mít proveden Ag i PCR test, počet otestovaných osob není roven součtu testů</w:t>
                  </w:r>
                </w:p>
                <w:p>
                  <w:pPr>
                    <w:spacing w:after="0" w:line="240" w:lineRule="auto"/>
                    <w:jc w:val="left"/>
                  </w:pPr>
                  <w:r>
                    <w:rPr>
                      <w:rFonts w:ascii="Arial" w:hAnsi="Arial" w:eastAsia="Arial"/>
                      <w:i/>
                      <w:color w:val="000000"/>
                      <w:sz w:val="20"/>
                    </w:rPr>
                    <w:t xml:space="preserve">** Tyto testy nejsou zahrnuty v záchytech nemoci u testů PCR</w:t>
                  </w:r>
                </w:p>
                <w:p>
                  <w:pPr>
                    <w:spacing w:after="0" w:line="240" w:lineRule="auto"/>
                    <w:jc w:val="left"/>
                  </w:pPr>
                  <w:r>
                    <w:rPr>
                      <w:rFonts w:ascii="Arial" w:hAnsi="Arial" w:eastAsia="Arial"/>
                      <w:i/>
                      <w:color w:val="000000"/>
                      <w:sz w:val="20"/>
                    </w:rPr>
                    <w:t xml:space="preserve">*** Relativní pozitivita testů může být v posledním dni ovlivněna nedohlášením negativních testů v daném okamžiku (v případě velkého počtu testů jsou pro zpracování prioritizovány pozitivní testy a negativní testy jsou z laboratoří hlášeny postupně). Z toho důvodu dochází zpětně (cca 1 – 3 dny) ke korekcím průběžně hlášených hodnot.</w:t>
                  </w:r>
                </w:p>
              </w:tc>
            </w:tr>
          </w:tbl>
          <w:p>
            <w:pPr>
              <w:spacing w:after="0" w:line="240" w:lineRule="auto"/>
            </w:pPr>
          </w:p>
        </w:tc>
      </w:tr>
      <w:tr>
        <w:trPr>
          <w:trHeight w:val="236" w:hRule="atLeast"/>
        </w:trPr>
        <w:tc>
          <w:tcPr>
            <w:tcW w:w="9411" w:type="dxa"/>
          </w:tcPr>
          <w:p>
            <w:pPr>
              <w:pStyle w:val="EmptyCellLayoutStyle"/>
              <w:spacing w:after="0" w:line="240" w:lineRule="auto"/>
            </w:pPr>
          </w:p>
        </w:tc>
      </w:tr>
      <w:tr>
        <w:trPr/>
        <w:tc>
          <w:tcPr>
            <w:tcW w:w="9411" w:type="dxa"/>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20" w:hRule="atLeast"/>
        </w:trPr>
        <w:tc>
          <w:tcPr>
            <w:tcW w:w="9297" w:type="dxa"/>
          </w:tcPr>
          <w:p>
            <w:pPr>
              <w:pStyle w:val="EmptyCellLayoutStyle"/>
              <w:spacing w:after="0" w:line="240" w:lineRule="auto"/>
            </w:pPr>
          </w:p>
        </w:tc>
        <w:tc>
          <w:tcPr>
            <w:tcW w:w="113" w:type="dxa"/>
          </w:tcPr>
          <w:p>
            <w:pPr>
              <w:pStyle w:val="EmptyCellLayoutStyle"/>
              <w:spacing w:after="0" w:line="240" w:lineRule="auto"/>
            </w:pPr>
          </w:p>
        </w:tc>
      </w:tr>
      <w:tr>
        <w:trPr>
          <w:trHeight w:val="1133" w:hRule="atLeast"/>
        </w:trPr>
        <w:tc>
          <w:tcPr>
            <w:tcW w:w="9297" w:type="dxa"/>
            <w:hMerge w:val="restart"/>
          </w:tcPr>
          <w:tbl>
            <w:tblPr>
              <w:tblCellMar>
                <w:top w:w="0" w:type="dxa"/>
                <w:left w:w="0" w:type="dxa"/>
                <w:bottom w:w="0" w:type="dxa"/>
                <w:right w:w="0" w:type="dxa"/>
              </w:tblCellMar>
            </w:tblPr>
            <w:tblGrid>
              <w:gridCol w:w="9411"/>
            </w:tblGrid>
            <w:tr>
              <w:trPr>
                <w:trHeight w:val="1055"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8"/>
                    </w:rPr>
                    <w:t xml:space="preserve">VÝSKYT NÁKAZ VE VZTAHU K OČKOVÁNÍ</w:t>
                  </w:r>
                </w:p>
                <w:p>
                  <w:pPr>
                    <w:spacing w:after="0" w:line="240" w:lineRule="auto"/>
                    <w:jc w:val="left"/>
                  </w:pPr>
                  <w:r>
                    <w:rPr>
                      <w:rFonts w:ascii="Arial" w:hAnsi="Arial" w:eastAsia="Arial"/>
                      <w:color w:val="000000"/>
                      <w:sz w:val="20"/>
                    </w:rPr>
                    <w:t xml:space="preserve">Od května 2022 došlo k zásadní změně v strategii testování a více než 75% testů jsou testy indikované. Nově potvrzené případy nákazy tak neodpovídají celkovým počtům nakažených z předchozích období, kdy probíhalo plošné testování.</w:t>
                  </w:r>
                </w:p>
              </w:tc>
            </w:tr>
          </w:tbl>
          <w:p>
            <w:pPr>
              <w:spacing w:after="0" w:line="240" w:lineRule="auto"/>
            </w:pPr>
          </w:p>
        </w:tc>
        <w:tc>
          <w:tcPr>
            <w:tcW w:w="113" w:type="dxa"/>
            <w:hMerge w:val="continue"/>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b/>
                      <w:color w:val="000000"/>
                      <w:sz w:val="20"/>
                    </w:rPr>
                    <w:t xml:space="preserve">Denní souhrn k datu 03. 12. 2022</w:t>
                  </w:r>
                </w:p>
              </w:tc>
            </w:tr>
          </w:tbl>
          <w:p>
            <w:pPr>
              <w:spacing w:after="0" w:line="240" w:lineRule="auto"/>
            </w:pPr>
          </w:p>
        </w:tc>
        <w:tc>
          <w:tcPr>
            <w:tcW w:w="113" w:type="dxa"/>
          </w:tcPr>
          <w:p>
            <w:pPr>
              <w:pStyle w:val="EmptyCellLayoutStyle"/>
              <w:spacing w:after="0" w:line="240" w:lineRule="auto"/>
            </w:pPr>
          </w:p>
        </w:tc>
      </w:tr>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POTVRZENÉ PŘÍPADY COVID-19 (včetně reinfekcí)</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237.7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234.0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1,577.1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511.9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1,117.4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469.2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1,698.6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1,642.7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538.5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1,780.3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1,106.6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186.0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156.7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181.8</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67.9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61.3</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83.2</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42.3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61.6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15.2</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18.0</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bl>
          <w:p>
            <w:pPr>
              <w:spacing w:after="0" w:line="240" w:lineRule="auto"/>
            </w:pPr>
          </w:p>
        </w:tc>
        <w:tc>
          <w:tcPr>
            <w:tcW w:w="113" w:type="dxa"/>
          </w:tcPr>
          <w:p>
            <w:pPr>
              <w:pStyle w:val="EmptyCellLayoutStyle"/>
              <w:spacing w:after="0" w:line="240" w:lineRule="auto"/>
            </w:pPr>
          </w:p>
        </w:tc>
      </w:tr>
      <w:tr>
        <w:trPr/>
        <w:tc>
          <w:tcPr>
            <w:tcW w:w="9297" w:type="dxa"/>
            <w:hMerge w:val="restart"/>
          </w:tcPr>
          <w:tbl>
            <w:tblPr>
              <w:tblCellMar>
                <w:top w:w="0" w:type="dxa"/>
                <w:left w:w="0" w:type="dxa"/>
                <w:bottom w:w="0" w:type="dxa"/>
                <w:right w:w="0" w:type="dxa"/>
              </w:tblCellMar>
            </w:tblPr>
            <w:tblGrid>
              <w:gridCol w:w="9411"/>
            </w:tblGrid>
            <w:tr>
              <w:trPr>
                <w:trHeight w:val="283" w:hRule="atLeast"/>
              </w:trPr>
              <w:tc>
                <w:tcPr>
                  <w:tcW w:w="9411"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CELKEM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35.1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39.3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14.4</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19.8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7.2</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8.7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14.5</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9.7</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16.6</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4.6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2.8</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6.6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7.9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5.3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9.1</w:t>
                  </w:r>
                </w:p>
              </w:tc>
            </w:tr>
          </w:tbl>
          <w:p>
            <w:pPr>
              <w:spacing w:after="0" w:line="240" w:lineRule="auto"/>
            </w:pPr>
          </w:p>
        </w:tc>
        <w:tc>
          <w:tcPr>
            <w:tcW w:w="113"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297"/>
        <w:gridCol w:w="113"/>
      </w:tblGrid>
      <w:tr>
        <w:trPr>
          <w:trHeight w:val="340" w:hRule="atLeast"/>
        </w:trPr>
        <w:tc>
          <w:tcPr>
            <w:tcW w:w="9297" w:type="dxa"/>
          </w:tcPr>
          <w:tbl>
            <w:tblPr>
              <w:tblCellMar>
                <w:top w:w="0" w:type="dxa"/>
                <w:left w:w="0" w:type="dxa"/>
                <w:bottom w:w="0" w:type="dxa"/>
                <w:right w:w="0" w:type="dxa"/>
              </w:tblCellMar>
            </w:tblPr>
            <w:tblGrid>
              <w:gridCol w:w="9297"/>
            </w:tblGrid>
            <w:tr>
              <w:trPr>
                <w:trHeight w:val="262" w:hRule="atLeast"/>
              </w:trPr>
              <w:tc>
                <w:tcPr>
                  <w:tcW w:w="9297" w:type="dxa"/>
                  <w:tcBorders>
                    <w:top w:val="single" w:color="000000" w:sz="7"/>
                    <w:left w:val="single" w:color="000000" w:sz="7"/>
                    <w:bottom w:val="single" w:color="000000" w:sz="7"/>
                    <w:right w:val="single" w:color="000000" w:sz="7"/>
                  </w:tcBorders>
                  <w:shd w:val="clear" w:fill="D3D3D3"/>
                  <w:tcMar>
                    <w:top w:w="39" w:type="dxa"/>
                    <w:left w:w="39" w:type="dxa"/>
                    <w:bottom w:w="39" w:type="dxa"/>
                    <w:right w:w="39" w:type="dxa"/>
                  </w:tcMar>
                </w:tcPr>
                <w:p>
                  <w:pPr>
                    <w:spacing w:after="0" w:line="240" w:lineRule="auto"/>
                    <w:jc w:val="center"/>
                  </w:pPr>
                  <w:r>
                    <w:rPr>
                      <w:rFonts w:ascii="Arial" w:hAnsi="Arial" w:eastAsia="Arial"/>
                      <w:b/>
                      <w:color w:val="000000"/>
                      <w:sz w:val="20"/>
                    </w:rPr>
                    <w:t xml:space="preserve">NOVĚ HOSPITALIZOVANÍ NA JIP 65+</w:t>
                  </w:r>
                </w:p>
              </w:tc>
            </w:tr>
          </w:tbl>
          <w:p>
            <w:pPr>
              <w:spacing w:after="0" w:line="240" w:lineRule="auto"/>
            </w:pPr>
          </w:p>
        </w:tc>
        <w:tc>
          <w:tcPr>
            <w:tcW w:w="113" w:type="dxa"/>
          </w:tcPr>
          <w:p>
            <w:pPr>
              <w:pStyle w:val="EmptyCellLayoutStyle"/>
              <w:spacing w:after="0" w:line="240" w:lineRule="auto"/>
            </w:pPr>
          </w:p>
        </w:tc>
      </w:tr>
      <w:tr>
        <w:trPr/>
        <w:tc>
          <w:tcPr>
            <w:tcW w:w="929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86"/>
              <w:gridCol w:w="1249"/>
              <w:gridCol w:w="1420"/>
              <w:gridCol w:w="1703"/>
              <w:gridCol w:w="1420"/>
              <w:gridCol w:w="1417"/>
            </w:tblGrid>
            <w:tr>
              <w:trPr>
                <w:trHeight w:val="602" w:hRule="atLeast"/>
              </w:trPr>
              <w:tc>
                <w:tcPr>
                  <w:tcW w:w="2086" w:type="dxa"/>
                  <w:tcBorders>
                    <w:top w:val="single" w:color="000000" w:sz="7"/>
                    <w:left w:val="single" w:color="000000" w:sz="7"/>
                    <w:bottom w:val="nil"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OBDOBÍ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Neočkovaní</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Nedokončené očkování *</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bez posilující dávky**</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1. posilující dávkou</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b/>
                      <w:color w:val="000000"/>
                      <w:sz w:val="20"/>
                    </w:rPr>
                    <w:t xml:space="preserve">Dokončené očkování s 2. posilující dávkou</w:t>
                  </w:r>
                </w:p>
              </w:tc>
            </w:tr>
            <w:tr>
              <w:trPr>
                <w:trHeight w:val="262" w:hRule="atLeast"/>
              </w:trPr>
              <w:tc>
                <w:tcPr>
                  <w:tcW w:w="2086" w:type="dxa"/>
                  <w:tcBorders>
                    <w:top w:val="nil"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249" w:type="dxa"/>
                  <w:hMerge w:val="restart"/>
                  <w:tcBorders>
                    <w:top w:val="single" w:color="000000" w:sz="7"/>
                    <w:left w:val="single" w:color="000000" w:sz="7"/>
                    <w:bottom w:val="single" w:color="000000" w:sz="7"/>
                    <w:right w:val="nil" w:color="000000" w:sz="7"/>
                  </w:tcBorders>
                  <w:tcMar>
                    <w:top w:w="39" w:type="dxa"/>
                    <w:left w:w="39" w:type="dxa"/>
                    <w:bottom w:w="39" w:type="dxa"/>
                    <w:right w:w="39" w:type="dxa"/>
                  </w:tcMar>
                  <w:vAlign w:val="center"/>
                </w:tcPr>
                <w:p>
                  <w:pPr>
                    <w:spacing w:after="0" w:line="240" w:lineRule="auto"/>
                    <w:jc w:val="center"/>
                  </w:pPr>
                  <w:r>
                    <w:rPr>
                      <w:rFonts w:ascii="Arial" w:hAnsi="Arial" w:eastAsia="Arial"/>
                      <w:i/>
                      <w:color w:val="000000"/>
                      <w:sz w:val="20"/>
                    </w:rPr>
                    <w:t xml:space="preserve">7denní počty/100 tis. osob v dané skupině</w:t>
                  </w: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703"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20" w:type="dxa"/>
                  <w:hMerge w:val="continue"/>
                  <w:tcBorders>
                    <w:top w:val="single" w:color="000000" w:sz="7"/>
                    <w:left w:val="nil" w:color="000000" w:sz="7"/>
                    <w:bottom w:val="single" w:color="000000" w:sz="7"/>
                    <w:right w:val="nil" w:color="000000" w:sz="7"/>
                  </w:tcBorders>
                  <w:tcMar>
                    <w:top w:w="39" w:type="dxa"/>
                    <w:left w:w="39" w:type="dxa"/>
                    <w:bottom w:w="39" w:type="dxa"/>
                    <w:right w:w="39" w:type="dxa"/>
                  </w:tcMar>
                  <w:vAlign w:val="center"/>
                </w:tcPr>
                <w:p>
                  <w:pPr>
                    <w:spacing w:after="0" w:line="240" w:lineRule="auto"/>
                  </w:pPr>
                </w:p>
              </w:tc>
              <w:tc>
                <w:tcPr>
                  <w:tcW w:w="1417" w:type="dxa"/>
                  <w:hMerge w:val="continue"/>
                  <w:tcBorders>
                    <w:top w:val="single" w:color="000000" w:sz="7"/>
                    <w:left w:val="nil"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3.0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2.5</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2021-12 Prosinec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2.9</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2022-01 Leden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2022-02 Únor</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2.0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2022-03 Březen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1.3</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2022-04 Duben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2022-05 Květen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2022-06 Červen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2022-07 Červenec</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2022-08 Srpen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rPr>
                      <w:sz w:val="0"/>
                    </w:rPr>
                  </w:pP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2022-09 Září</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2022-10 Říjen</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0.6</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0.3</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0.7</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0.9</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2022-11 Listopad</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0.4</w:t>
                  </w:r>
                </w:p>
              </w:tc>
            </w:tr>
            <w:tr>
              <w:trPr>
                <w:trHeight w:val="205" w:hRule="atLeast"/>
              </w:trPr>
              <w:tc>
                <w:tcPr>
                  <w:tcW w:w="2086"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000000"/>
                      <w:sz w:val="20"/>
                    </w:rPr>
                    <w:t xml:space="preserve">2022-12 Prosinec #</w:t>
                  </w:r>
                </w:p>
              </w:tc>
              <w:tc>
                <w:tcPr>
                  <w:tcW w:w="1249"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0.5</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70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c>
                <w:tcPr>
                  <w:tcW w:w="14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Arial" w:hAnsi="Arial" w:eastAsia="Arial"/>
                      <w:color w:val="000000"/>
                      <w:sz w:val="20"/>
                    </w:rPr>
                    <w:t xml:space="preserve">0.0</w:t>
                  </w:r>
                </w:p>
              </w:tc>
            </w:tr>
          </w:tbl>
          <w:p>
            <w:pPr>
              <w:spacing w:after="0" w:line="240" w:lineRule="auto"/>
            </w:pPr>
          </w:p>
        </w:tc>
        <w:tc>
          <w:tcPr>
            <w:tcW w:w="113" w:type="dxa"/>
          </w:tcPr>
          <w:p>
            <w:pPr>
              <w:pStyle w:val="EmptyCellLayoutStyle"/>
              <w:spacing w:after="0" w:line="240" w:lineRule="auto"/>
            </w:pPr>
          </w:p>
        </w:tc>
      </w:tr>
      <w:tr>
        <w:trPr>
          <w:trHeight w:val="1700" w:hRule="atLeast"/>
        </w:trPr>
        <w:tc>
          <w:tcPr>
            <w:tcW w:w="9297" w:type="dxa"/>
            <w:hMerge w:val="restart"/>
          </w:tcPr>
          <w:tbl>
            <w:tblPr>
              <w:tblCellMar>
                <w:top w:w="0" w:type="dxa"/>
                <w:left w:w="0" w:type="dxa"/>
                <w:bottom w:w="0" w:type="dxa"/>
                <w:right w:w="0" w:type="dxa"/>
              </w:tblCellMar>
            </w:tblPr>
            <w:tblGrid>
              <w:gridCol w:w="9411"/>
            </w:tblGrid>
            <w:tr>
              <w:trPr>
                <w:trHeight w:val="1622" w:hRule="atLeast"/>
              </w:trPr>
              <w:tc>
                <w:tcPr>
                  <w:tcW w:w="94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 Očkovaní pouze jednou dávkou u dvoudávkové vakcíny nebo osoby nakažené do 14 dnů od druhé dávky u dvoudávkové vakcíny nebo do 14 dnů od podání jednodávkové vakcíny</w:t>
                  </w:r>
                </w:p>
                <w:p>
                  <w:pPr>
                    <w:spacing w:after="0" w:line="240" w:lineRule="auto"/>
                    <w:jc w:val="left"/>
                  </w:pPr>
                  <w:r>
                    <w:rPr>
                      <w:rFonts w:ascii="Arial" w:hAnsi="Arial" w:eastAsia="Arial"/>
                      <w:color w:val="000000"/>
                      <w:sz w:val="20"/>
                    </w:rPr>
                    <w:t xml:space="preserve">** Dokončené očkování: více než 14 dní po 2. dávce dvoudávkové vakcíny nebo více než 14 dní po jednodávkové vakcinaci bez ohledu na posilující dávku</w:t>
                  </w:r>
                </w:p>
                <w:p>
                  <w:pPr>
                    <w:spacing w:after="0" w:line="240" w:lineRule="auto"/>
                    <w:jc w:val="left"/>
                  </w:pPr>
                  <w:r>
                    <w:rPr>
                      <w:rFonts w:ascii="Arial" w:hAnsi="Arial" w:eastAsia="Arial"/>
                      <w:color w:val="000000"/>
                      <w:sz w:val="20"/>
                    </w:rPr>
                    <w:t xml:space="preserve"># Průběžné hodnoty neuzavřeného měsíce kalkulované k datu aktualizace  </w:t>
                  </w:r>
                </w:p>
              </w:tc>
            </w:tr>
          </w:tbl>
          <w:p>
            <w:pPr>
              <w:spacing w:after="0" w:line="240" w:lineRule="auto"/>
            </w:pPr>
          </w:p>
        </w:tc>
        <w:tc>
          <w:tcPr>
            <w:tcW w:w="113" w:type="dxa"/>
            <w:hMerge w:val="continue"/>
          </w:tcPr>
          <w:p>
            <w:pPr>
              <w:pStyle w:val="EmptyCellLayoutStyle"/>
              <w:spacing w:after="0" w:line="240" w:lineRule="auto"/>
            </w:pPr>
          </w:p>
        </w:tc>
      </w:tr>
    </w:tbl>
    <w:p>
      <w:pPr>
        <w:spacing w:after="0" w:line="240" w:lineRule="auto"/>
      </w:pPr>
    </w:p>
    <w:sectPr w:rsidRPr="" w:rsidDel="" w:rsidR="" w:rsidSect="">
      <w:pgSz w:w="11905" w:h="16837"/>
      <w:pgMar w:top="1133" w:right="1133" w:bottom="1133" w:left="1133" w:header="0" w:footer="0"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numbering" Target="/word/numbering.xml"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IS_COVID19_Tiskova_zprava_MZ-denni_souhrn_dat</dc:title>
</cp:coreProperties>
</file>