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31. 10. 2022</w:t>
                  </w:r>
                </w:p>
              </w:tc>
            </w:tr>
          </w:tbl>
          <w:p>
            <w:pPr>
              <w:spacing w:after="0" w:line="240" w:lineRule="auto"/>
            </w:pPr>
          </w:p>
        </w:tc>
      </w:tr>
      <w:tr>
        <w:trPr>
          <w:trHeight w:val="7002" w:hRule="atLeast"/>
        </w:trPr>
        <w:tc>
          <w:tcPr>
            <w:tcW w:w="9411" w:type="dxa"/>
          </w:tcPr>
          <w:tbl>
            <w:tblPr>
              <w:tblCellMar>
                <w:top w:w="0" w:type="dxa"/>
                <w:left w:w="0" w:type="dxa"/>
                <w:bottom w:w="0" w:type="dxa"/>
                <w:right w:w="0" w:type="dxa"/>
              </w:tblCellMar>
            </w:tblPr>
            <w:tblGrid>
              <w:gridCol w:w="9411"/>
            </w:tblGrid>
            <w:tr>
              <w:trPr>
                <w:trHeight w:val="6924"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6 – Nákazy a reinfekce – denní data: </w:t>
                  </w:r>
                  <w:r>
                    <w:rPr>
                      <w:rFonts w:ascii="Arial" w:hAnsi="Arial" w:eastAsia="Arial"/>
                      <w:color w:val="000000"/>
                      <w:sz w:val="22"/>
                    </w:rPr>
                    <w:t xml:space="preserve">datový souhrn počtu nově diagnostikovaných případů COVID-19 a hospitalizovaných pacientů s COVID-19 v členění zohledňujícím předchozí prodělání infekce</w:t>
                  </w:r>
                </w:p>
              </w:tc>
            </w:tr>
          </w:tbl>
          <w:p>
            <w:pPr>
              <w:spacing w:after="0" w:line="240" w:lineRule="auto"/>
            </w:pPr>
          </w:p>
        </w:tc>
      </w:tr>
      <w:tr>
        <w:trPr>
          <w:trHeight w:val="27"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30. 10. 2022 bylo diagnostikováno  136 případů onemocnění COVID-19, z toho  104 primárních infekcí a  32 suspektních reinfekcí. Průměrný denní počet záchytů minulý týden byl 1 151 případů (Celkem včetně reinfekcí). Ve srovnání relativní změny mezi týdny dosahuje počet zachycených případů hodnoty -43,7%. Celkový 7denní počet potvrzených případů standardizovaný na 100 tisíc obyvatel dosahuje hodnoty 75,3. Aktuální hodnota reprodukčního čísla je 0.68 (7denní časové okno). Hodnota reprodukčního čísla pro 14denní časové okno je 0.77. Dne 30. 10. 2022 bylo diagnostikováno  67 nových případů ve věku 65+ (49,3% celku) a dále  43 případů ve věku 75+ (31,6%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30. 10. 2022 nahlášen ve výši  12 (z toho  11 ve věku 65+ a  10 ve věku 75+). Celkem nyní registrujeme  414 všech hospitalizovaných pacientů s COVID-19, z toho pacientů na JIP:  40 a z toho pacientů na UPV:  7 a ECMO:  0. Ve srovnání relativní změny mezi týdny dosahuje celkový počet hospitalizovaných pacientů hodnoty -43,9%.</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30. 10. 2022 bylo provedeno  524 testů PCR a  481 antigenních testů, a to u  977 unikátních testovaných osob. Testy s preventivní indikací a prováděné v rámci plošného testování tvořily 27,8% celkového počtu testů. Na celkovém počtu potvrzených  136  diagnóz COVID-19 se AG testy podílely z 58,1%. COVID-19 byl prokázán u  24 asymptomatických osob, z toho v  3 případech na bázi AG testu následně potvrzeného vyšetřením PCR.</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170"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23" w:hRule="atLeast"/>
        </w:trPr>
        <w:tc>
          <w:tcPr>
            <w:tcW w:w="9411" w:type="dxa"/>
          </w:tcPr>
          <w:tbl>
            <w:tblPr>
              <w:tblCellMar>
                <w:top w:w="0" w:type="dxa"/>
                <w:left w:w="0" w:type="dxa"/>
                <w:bottom w:w="0" w:type="dxa"/>
                <w:right w:w="0" w:type="dxa"/>
              </w:tblCellMar>
            </w:tblPr>
            <w:tblGrid>
              <w:gridCol w:w="9411"/>
            </w:tblGrid>
            <w:tr>
              <w:trPr>
                <w:trHeight w:val="54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7" w:hRule="atLeast"/>
        </w:trPr>
        <w:tc>
          <w:tcPr>
            <w:tcW w:w="9411" w:type="dxa"/>
          </w:tcPr>
          <w:tbl>
            <w:tblPr>
              <w:tblCellMar>
                <w:top w:w="0" w:type="dxa"/>
                <w:left w:w="0" w:type="dxa"/>
                <w:bottom w:w="0" w:type="dxa"/>
                <w:right w:w="0" w:type="dxa"/>
              </w:tblCellMar>
            </w:tblPr>
            <w:tblGrid>
              <w:gridCol w:w="9411"/>
            </w:tblGrid>
            <w:tr>
              <w:trPr>
                <w:trHeight w:val="133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29,0%</w:t>
                  </w:r>
                  <w:r>
                    <w:rPr>
                      <w:rFonts w:ascii="Arial" w:hAnsi="Arial" w:eastAsia="Arial"/>
                      <w:color w:val="212529"/>
                      <w:sz w:val="22"/>
                    </w:rPr>
                    <w:br/>
                    <w:t xml:space="preserve">-       testy s epidemiologickou indikací (rizikové kontakty, trasování) mají pozitivitu 21,9%</w:t>
                  </w:r>
                  <w:r>
                    <w:rPr>
                      <w:rFonts w:ascii="Arial" w:hAnsi="Arial" w:eastAsia="Arial"/>
                      <w:color w:val="212529"/>
                      <w:sz w:val="22"/>
                    </w:rPr>
                    <w:br/>
                    <w:t xml:space="preserve">-       testy s preventivní indikací a při plošném testování dosahují pozitivity 4,7%</w:t>
                  </w:r>
                </w:p>
              </w:tc>
            </w:tr>
          </w:tbl>
          <w:p>
            <w:pPr>
              <w:spacing w:after="0" w:line="240" w:lineRule="auto"/>
            </w:pPr>
          </w:p>
        </w:tc>
      </w:tr>
      <w:tr>
        <w:trPr>
          <w:trHeight w:val="5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87" w:hRule="atLeast"/>
        </w:trPr>
        <w:tc>
          <w:tcPr>
            <w:tcW w:w="9411" w:type="dxa"/>
          </w:tcPr>
          <w:p>
            <w:pPr>
              <w:pStyle w:val="EmptyCellLayoutStyle"/>
              <w:spacing w:after="0" w:line="240" w:lineRule="auto"/>
            </w:pPr>
          </w:p>
        </w:tc>
      </w:tr>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 </w:t>
                  </w:r>
                  <w:r>
                    <w:rPr>
                      <w:rFonts w:ascii="Arial" w:hAnsi="Arial" w:eastAsia="Arial"/>
                      <w:b/>
                      <w:color w:val="000000"/>
                      <w:sz w:val="24"/>
                      <w:u w:val="single"/>
                    </w:rPr>
                    <w:t xml:space="preserve">(všechny případy včetně reinfekcí)</w:t>
                  </w:r>
                </w:p>
              </w:tc>
            </w:tr>
          </w:tbl>
          <w:p>
            <w:pPr>
              <w:spacing w:after="0" w:line="240" w:lineRule="auto"/>
            </w:pPr>
          </w:p>
        </w:tc>
      </w:tr>
      <w:tr>
        <w:trPr>
          <w:trHeight w:val="26" w:hRule="atLeast"/>
        </w:trPr>
        <w:tc>
          <w:tcPr>
            <w:tcW w:w="9411" w:type="dxa"/>
          </w:tcPr>
          <w:p>
            <w:pPr>
              <w:pStyle w:val="EmptyCellLayoutStyle"/>
              <w:spacing w:after="0" w:line="240" w:lineRule="auto"/>
            </w:pPr>
          </w:p>
        </w:tc>
      </w:tr>
      <w:tr>
        <w:trPr/>
        <w:tc>
          <w:tcPr>
            <w:tcW w:w="94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15 (2.7)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91.7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234.0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327.9 / 34.1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26.5 % / 27.2 %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24 (1.8)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88.9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250.3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324.8 / 129.2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27.0 % / 17.7 %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11 (0.9)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85.7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223.7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279.4 / 38.7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31.0 % / 23.3 %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10 (1.2)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83.6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244.3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261.7 / 37.7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30.9 % / 25.8 %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 (1.3)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76.7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219.8</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279.0 / 34.4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27.7 % / 23.2 %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18 (1.3)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76.1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219.4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245.1 / 53.9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31.2 % / 23.1 %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8 (1.4)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75.8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205.5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245.3 / 36.7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33.5 % / 20.4 %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 (0.5)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73.4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194.9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263.8 / 59.0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26.9 % / 22.3 %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 (1.1)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72.4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203.4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248.6 / 29.2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28.6 % / 23.4 %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 (0.9)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69.6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201.4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235.5 / 24.9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28.2 % / 26.7 %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 (0.6)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69.1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181.4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233.6 / 29.0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29.8 % / 24.2 %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 (0.7)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65.8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181.7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195.7 / 41.3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32.9 % / 26.5 %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13 (2.6)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56.4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165.3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225.2 / 77.8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26.4 % / 15.0 %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10 (0.8)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52.6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148.9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194.4 / 35.4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28.4 % / 18.9 %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136 (1.3)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75.3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208.9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259.3 / 53.5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29.0 % / 21.9 %</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56" w:hRule="atLeast"/>
        </w:trPr>
        <w:tc>
          <w:tcPr>
            <w:tcW w:w="9411" w:type="dxa"/>
          </w:tcPr>
          <w:p>
            <w:pPr>
              <w:pStyle w:val="EmptyCellLayoutStyle"/>
              <w:spacing w:after="0" w:line="240" w:lineRule="auto"/>
            </w:pPr>
          </w:p>
        </w:tc>
      </w:tr>
      <w:tr>
        <w:trPr>
          <w:trHeight w:val="1133" w:hRule="atLeast"/>
        </w:trPr>
        <w:tc>
          <w:tcPr>
            <w:tcW w:w="9411" w:type="dxa"/>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30. 10. 2022                                                                      /generováno 31.10.2022/</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1"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30. 10.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29. 10.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524</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587</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481</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977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511</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1 075</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30. 10.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29. 10.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136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202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71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35,1%</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18,3%</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76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55,9%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78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38,6%</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30. 10.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29. 10.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1 005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1 098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1"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508</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50,5%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635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57,8%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160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165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279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27,8%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252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23,0%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58</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7"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30. 10.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29. 10.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29. 10. 2022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11,3%</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21,9%</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5,0%</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30. 10.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29. 10.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14 845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15 004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4 376 288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19 299</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19 695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34 057 056</w:t>
                  </w:r>
                </w:p>
              </w:tc>
            </w:tr>
          </w:tbl>
          <w:p>
            <w:pPr>
              <w:spacing w:after="0" w:line="240" w:lineRule="auto"/>
            </w:pPr>
          </w:p>
        </w:tc>
      </w:tr>
      <w:tr>
        <w:trPr>
          <w:trHeight w:val="74" w:hRule="atLeast"/>
        </w:trPr>
        <w:tc>
          <w:tcPr>
            <w:tcW w:w="9411" w:type="dxa"/>
          </w:tcPr>
          <w:p>
            <w:pPr>
              <w:pStyle w:val="EmptyCellLayoutStyle"/>
              <w:spacing w:after="0" w:line="240" w:lineRule="auto"/>
            </w:pPr>
          </w:p>
        </w:tc>
      </w:tr>
      <w:tr>
        <w:trPr>
          <w:trHeight w:val="1530" w:hRule="atLeast"/>
        </w:trPr>
        <w:tc>
          <w:tcPr>
            <w:tcW w:w="9411" w:type="dxa"/>
          </w:tcPr>
          <w:tbl>
            <w:tblPr>
              <w:tblCellMar>
                <w:top w:w="0" w:type="dxa"/>
                <w:left w:w="0" w:type="dxa"/>
                <w:bottom w:w="0" w:type="dxa"/>
                <w:right w:w="0" w:type="dxa"/>
              </w:tblCellMar>
            </w:tblPr>
            <w:tblGrid>
              <w:gridCol w:w="9411"/>
            </w:tblGrid>
            <w:tr>
              <w:trPr>
                <w:trHeight w:val="145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rHeight w:val="23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20" w:hRule="atLeast"/>
        </w:trPr>
        <w:tc>
          <w:tcPr>
            <w:tcW w:w="9297" w:type="dxa"/>
          </w:tcPr>
          <w:p>
            <w:pPr>
              <w:pStyle w:val="EmptyCellLayoutStyle"/>
              <w:spacing w:after="0" w:line="240" w:lineRule="auto"/>
            </w:pPr>
          </w:p>
        </w:tc>
        <w:tc>
          <w:tcPr>
            <w:tcW w:w="113" w:type="dxa"/>
          </w:tcPr>
          <w:p>
            <w:pPr>
              <w:pStyle w:val="EmptyCellLayoutStyle"/>
              <w:spacing w:after="0" w:line="240" w:lineRule="auto"/>
            </w:pPr>
          </w:p>
        </w:tc>
      </w:tr>
      <w:tr>
        <w:trPr>
          <w:trHeight w:val="1133" w:hRule="atLeast"/>
        </w:trPr>
        <w:tc>
          <w:tcPr>
            <w:tcW w:w="9297" w:type="dxa"/>
            <w:hMerge w:val="restart"/>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c>
          <w:tcPr>
            <w:tcW w:w="113" w:type="dxa"/>
            <w:hMerge w:val="continue"/>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31. 10. 2022</w:t>
                  </w:r>
                </w:p>
              </w:tc>
            </w:tr>
          </w:tbl>
          <w:p>
            <w:pPr>
              <w:spacing w:after="0" w:line="240" w:lineRule="auto"/>
            </w:pPr>
          </w:p>
        </w:tc>
        <w:tc>
          <w:tcPr>
            <w:tcW w:w="113" w:type="dxa"/>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POTVRZENÉ PŘÍPADY COVID-19 (včetně reinfekcí)</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237.9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312.4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1,699.1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918.3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538.4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1,780.6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1,107.0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256.3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181.9</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17.9</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r>
          </w:tbl>
          <w:p>
            <w:pPr>
              <w:spacing w:after="0" w:line="240" w:lineRule="auto"/>
            </w:pPr>
          </w:p>
        </w:tc>
        <w:tc>
          <w:tcPr>
            <w:tcW w:w="113" w:type="dxa"/>
          </w:tcPr>
          <w:p>
            <w:pPr>
              <w:pStyle w:val="EmptyCellLayoutStyle"/>
              <w:spacing w:after="0" w:line="240" w:lineRule="auto"/>
            </w:pPr>
          </w:p>
        </w:tc>
      </w:tr>
      <w:tr>
        <w:trPr/>
        <w:tc>
          <w:tcPr>
            <w:tcW w:w="9297"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r>
          </w:tbl>
          <w:p>
            <w:pPr>
              <w:spacing w:after="0" w:line="240" w:lineRule="auto"/>
            </w:pPr>
          </w:p>
        </w:tc>
        <w:tc>
          <w:tcPr>
            <w:tcW w:w="113" w:type="dxa"/>
          </w:tcPr>
          <w:p>
            <w:pPr>
              <w:pStyle w:val="EmptyCellLayoutStyle"/>
              <w:spacing w:after="0" w:line="240" w:lineRule="auto"/>
            </w:pPr>
          </w:p>
        </w:tc>
      </w:tr>
      <w:tr>
        <w:trPr>
          <w:trHeight w:val="1700" w:hRule="atLeast"/>
        </w:trPr>
        <w:tc>
          <w:tcPr>
            <w:tcW w:w="9297"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