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13. 10. 2022</w:t>
                  </w:r>
                </w:p>
              </w:tc>
            </w:tr>
          </w:tbl>
          <w:p>
            <w:pPr>
              <w:spacing w:after="0" w:line="240" w:lineRule="auto"/>
            </w:pPr>
          </w:p>
        </w:tc>
      </w:tr>
      <w:tr>
        <w:trPr>
          <w:trHeight w:val="20" w:hRule="atLeast"/>
        </w:trPr>
        <w:tc>
          <w:tcPr>
            <w:tcW w:w="9411" w:type="dxa"/>
          </w:tcPr>
          <w:p>
            <w:pPr>
              <w:pStyle w:val="EmptyCellLayoutStyle"/>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39"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12. 10. 2022 bylo nově diagnostikováno 2 214 případů onemocnění COVID-19 a dále  944 suspektních reinfekcí. Průměrný denní počet záchytů minulý týden byl 2 208 případů. Ve srovnání relativní změny mezi týdny dosahuje počet zachycených případů hodnoty -23,0%. Celkový 7denní počet nově potvrzených případů standardizovaný na 100 tisíc obyvatel dosahuje hodnoty 144,5. Aktuální hodnota reprodukčního čísla je 0.85 (7denní časové okno). Hodnota reprodukčního čísla pro 14denní časové okno je 0.98. Dne 12. 10. 2022 bylo nově diagnostikováno  893 nových případů ve věku 65+ (40,3% celku) a dále  476 nových případů ve věku 75+ (21,5%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12. 10. 2022 nahlášen ve výši  111 (z toho  89 ve věku 65+ a  74 ve věku 75+). Celkem nyní registrujeme 1 651 všech hospitalizovaných pacientů s COVID-19, z toho pacientů na JIP:  111 a z toho pacientů na UPV:  21 a ECMO:  0. Ve srovnání relativní změny mezi týdny dosahuje celkový počet hospitalizovaných pacientů hodnoty 1,0%.</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12. 10. 2022 bylo provedeno 4 576 testů PCR a 5 153 antigenních testů, a to u 9 579 unikátních testovaných osob. Testy s preventivní indikací a prováděné v rámci plošného testování tvořily 11,1% celkového počtu testů. Na celkovém počtu potvrzených 2 214  diagnóz COVID-19 se AG testy podílely z 51,1%. COVID-19 byl prokázán u  140 asymptomatických osob, z toho v  16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86"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0" w:type="dxa"/>
          </w:tcPr>
          <w:p>
            <w:pPr>
              <w:pStyle w:val="EmptyCellLayoutStyle"/>
              <w:spacing w:after="0" w:line="240" w:lineRule="auto"/>
            </w:pPr>
          </w:p>
        </w:tc>
        <w:tc>
          <w:tcPr>
            <w:tcW w:w="9411" w:type="dxa"/>
            <w:hMerge w:val="restart"/>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0" w:type="dxa"/>
            <w:hMerge w:val="restart"/>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29,4%</w:t>
                  </w:r>
                  <w:r>
                    <w:rPr>
                      <w:rFonts w:ascii="Arial" w:hAnsi="Arial" w:eastAsia="Arial"/>
                      <w:color w:val="212529"/>
                      <w:sz w:val="22"/>
                    </w:rPr>
                    <w:br/>
                    <w:t xml:space="preserve">-       testy s epidemiologickou indikací (rizikové kontakty, trasování) mají pozitivitu 16,5%</w:t>
                  </w:r>
                  <w:r>
                    <w:rPr>
                      <w:rFonts w:ascii="Arial" w:hAnsi="Arial" w:eastAsia="Arial"/>
                      <w:color w:val="212529"/>
                      <w:sz w:val="22"/>
                    </w:rPr>
                    <w:br/>
                    <w:t xml:space="preserve">-       testy s preventivní indikací a při plošném testování dosahují pozitivity 7,2%</w:t>
                  </w:r>
                </w:p>
              </w:tc>
            </w:tr>
          </w:tbl>
          <w:p>
            <w:pPr>
              <w:spacing w:after="0" w:line="240" w:lineRule="auto"/>
            </w:pPr>
          </w:p>
        </w:tc>
        <w:tc>
          <w:tcPr>
            <w:tcW w:w="9411" w:type="dxa"/>
            <w:hMerge w:val="continue"/>
          </w:tcPr>
          <w:p>
            <w:pPr>
              <w:pStyle w:val="EmptyCellLayoutStyle"/>
              <w:spacing w:after="0" w:line="240" w:lineRule="auto"/>
            </w:pPr>
          </w:p>
        </w:tc>
      </w:tr>
      <w:tr>
        <w:trPr>
          <w:trHeight w:val="43"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c>
          <w:tcPr>
            <w:tcW w:w="0"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9411" w:type="dxa"/>
            <w:hMerge w:val="continue"/>
          </w:tcPr>
          <w:p>
            <w:pPr>
              <w:pStyle w:val="EmptyCellLayoutStyle"/>
              <w:spacing w:after="0" w:line="240" w:lineRule="auto"/>
            </w:pPr>
          </w:p>
        </w:tc>
      </w:tr>
      <w:tr>
        <w:trPr>
          <w:trHeight w:val="51"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rHeight w:val="453" w:hRule="atLeast"/>
        </w:trPr>
        <w:tc>
          <w:tcPr>
            <w:tcW w:w="0" w:type="dxa"/>
            <w:hMerge w:val="restart"/>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w:t>
                  </w:r>
                </w:p>
              </w:tc>
            </w:tr>
          </w:tbl>
          <w:p>
            <w:pPr>
              <w:spacing w:after="0" w:line="240" w:lineRule="auto"/>
            </w:pPr>
          </w:p>
        </w:tc>
        <w:tc>
          <w:tcPr>
            <w:tcW w:w="9411" w:type="dxa"/>
            <w:hMerge w:val="continue"/>
          </w:tcPr>
          <w:p>
            <w:pPr>
              <w:pStyle w:val="EmptyCellLayoutStyle"/>
              <w:spacing w:after="0" w:line="240" w:lineRule="auto"/>
            </w:pPr>
          </w:p>
        </w:tc>
      </w:tr>
      <w:tr>
        <w:trPr>
          <w:trHeight w:val="32"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150 (27.2)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167.4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391.2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776.0 / 64.1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28.1 % / 16.4 %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291 (21.8)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161.6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362.9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763.4 / 168.2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26.2 % / 14.5 %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263 (22.0)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161.1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364.5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640.3 / 59.1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32.1 % / 21.2 %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127 (24.3)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366.6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722.8 / 61.2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29.4 % / 16.7 %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176 (21.5)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156.1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362.1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665.2 / 57.8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30.7 % / 17.1 %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149 (25.2)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148.6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354.3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675.6 / 85.4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27.0 % / 15.2 %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122 (27.6)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147.6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642.7 / 54.2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30.6 % / 17.5 %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246 (17.6)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145.0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324.1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616.4 / 85.9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31.2 % / 16.2 %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150 (23.3)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141.4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346.7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613.8 / 55.3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31.0 % / 16.6 %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136 (21.6)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136.4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305.3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556.5 / 70.6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31.5 % / 17.1 %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102 (17.6)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130.7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289.9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576.6 / 75.8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29.4 % / 16.9 %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86 (16.9)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126.6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300.1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534.7 / 158.6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31.0 % / 14.3 %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177 (14.8)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272.5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492.8 / 55.1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30.5 % / 16.0 %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38 (13.0)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95.5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222.6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430.9 / 50.5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29.8 % / 17.9 %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2214 (20.7)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144.5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332.0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632.2 / 85.0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29.7 % / 16.6 %</w:t>
                  </w:r>
                </w:p>
              </w:tc>
            </w:tr>
          </w:tbl>
          <w:p>
            <w:pPr>
              <w:spacing w:after="0" w:line="240" w:lineRule="auto"/>
            </w:pPr>
          </w:p>
        </w:tc>
        <w:tc>
          <w:tcPr>
            <w:tcW w:w="9411"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0"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12. 10. 2022                                                                      /generováno 13.10.2022/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4 576</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6 030</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5 153</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9 579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6 240</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12 066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...z toho prvotesty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4 822</w:t>
                  </w:r>
                </w:p>
              </w:tc>
              <w:tc>
                <w:tcPr>
                  <w:tcW w:w="1529"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5 900</w:t>
                  </w:r>
                </w:p>
              </w:tc>
              <w:tc>
                <w:tcPr>
                  <w:tcW w:w="1412"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2 214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2 938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959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43,3%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43,5%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1 115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1 462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49,8%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16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10.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9 729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12 270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6 468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66,5%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8 118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66,2%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2 041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2 704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1 080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140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10.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11. 10.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27,0%</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16,9%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12. 10.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11. 10.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30 609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32 507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4 321 528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34 415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35 670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33 996 721</w:t>
                  </w:r>
                </w:p>
              </w:tc>
            </w:tr>
          </w:tbl>
          <w:p>
            <w:pPr>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20" w:hRule="atLeast"/>
        </w:trPr>
        <w:tc>
          <w:tcPr>
            <w:tcW w:w="720" w:type="dxa"/>
          </w:tcPr>
          <w:p>
            <w:pPr>
              <w:pStyle w:val="EmptyCellLayoutStyle"/>
              <w:spacing w:after="0" w:line="240" w:lineRule="auto"/>
            </w:pPr>
          </w:p>
        </w:tc>
        <w:tc>
          <w:tcPr>
            <w:tcW w:w="0" w:type="dxa"/>
          </w:tcPr>
          <w:p>
            <w:pPr>
              <w:pStyle w:val="EmptyCellLayoutStyle"/>
              <w:spacing w:after="0" w:line="240" w:lineRule="auto"/>
            </w:pPr>
          </w:p>
        </w:tc>
        <w:tc>
          <w:tcPr>
            <w:tcW w:w="7880" w:type="dxa"/>
          </w:tcPr>
          <w:p>
            <w:pPr>
              <w:pStyle w:val="EmptyCellLayoutStyle"/>
              <w:spacing w:after="0" w:line="240" w:lineRule="auto"/>
            </w:pPr>
          </w:p>
        </w:tc>
        <w:tc>
          <w:tcPr>
            <w:tcW w:w="810" w:type="dxa"/>
          </w:tcPr>
          <w:p>
            <w:pPr>
              <w:pStyle w:val="EmptyCellLayoutStyle"/>
              <w:spacing w:after="0" w:line="240" w:lineRule="auto"/>
            </w:pPr>
          </w:p>
        </w:tc>
      </w:tr>
      <w:tr>
        <w:trPr>
          <w:trHeight w:val="1133" w:hRule="atLeast"/>
        </w:trPr>
        <w:tc>
          <w:tcPr>
            <w:tcW w:w="720"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0" w:type="dxa"/>
            <w:hMerge w:val="continue"/>
          </w:tcPr>
          <w:p>
            <w:pPr>
              <w:pStyle w:val="EmptyCellLayoutStyle"/>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r>
        <w:trPr>
          <w:trHeight w:val="340" w:hRule="atLeast"/>
        </w:trPr>
        <w:tc>
          <w:tcPr>
            <w:tcW w:w="7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13. 10. 2022</w:t>
                  </w:r>
                </w:p>
              </w:tc>
            </w:tr>
          </w:tbl>
          <w:p>
            <w:pPr>
              <w:spacing w:after="0" w:line="240" w:lineRule="auto"/>
            </w:pPr>
          </w:p>
        </w:tc>
        <w:tc>
          <w:tcPr>
            <w:tcW w:w="7880" w:type="dxa"/>
            <w:hMerge w:val="continue"/>
          </w:tcPr>
          <w:p>
            <w:pPr>
              <w:pStyle w:val="EmptyCellLayoutStyle"/>
              <w:spacing w:after="0" w:line="240" w:lineRule="auto"/>
            </w:pPr>
          </w:p>
        </w:tc>
        <w:tc>
          <w:tcPr>
            <w:tcW w:w="810" w:type="dxa"/>
          </w:tcPr>
          <w:p>
            <w:pPr>
              <w:pStyle w:val="EmptyCellLayoutStyle"/>
              <w:spacing w:after="0" w:line="240" w:lineRule="auto"/>
            </w:pPr>
          </w:p>
        </w:tc>
      </w:tr>
      <w:tr>
        <w:trPr>
          <w:trHeight w:val="340" w:hRule="atLeast"/>
        </w:trPr>
        <w:tc>
          <w:tcPr>
            <w:tcW w:w="720" w:type="dxa"/>
          </w:tcPr>
          <w:p>
            <w:pPr>
              <w:pStyle w:val="EmptyCellLayoutStyle"/>
              <w:spacing w:after="0" w:line="240" w:lineRule="auto"/>
            </w:pPr>
          </w:p>
        </w:tc>
        <w:tc>
          <w:tcPr>
            <w:tcW w:w="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POTVRZENÉ PŘÍPADY COVID-19</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268.0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1,226.7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485.6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843.1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226.4</w:t>
                  </w:r>
                </w:p>
              </w:tc>
            </w:tr>
          </w:tbl>
          <w:p>
            <w:pPr>
              <w:spacing w:after="0" w:line="240" w:lineRule="auto"/>
            </w:pPr>
          </w:p>
        </w:tc>
        <w:tc>
          <w:tcPr>
            <w:tcW w:w="7880" w:type="dxa"/>
            <w:hMerge w:val="continue"/>
          </w:tcPr>
          <w:p>
            <w:pPr>
              <w:pStyle w:val="EmptyCellLayoutStyle"/>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19.9</w:t>
                  </w:r>
                </w:p>
              </w:tc>
            </w:tr>
          </w:tbl>
          <w:p>
            <w:pPr>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r>
          </w:tbl>
          <w:p>
            <w:pPr>
              <w:spacing w:after="0" w:line="240" w:lineRule="auto"/>
            </w:pPr>
          </w:p>
        </w:tc>
        <w:tc>
          <w:tcPr>
            <w:tcW w:w="810" w:type="dxa"/>
          </w:tcPr>
          <w:p>
            <w:pPr>
              <w:pStyle w:val="EmptyCellLayoutStyle"/>
              <w:spacing w:after="0" w:line="240" w:lineRule="auto"/>
            </w:pPr>
          </w:p>
        </w:tc>
      </w:tr>
      <w:tr>
        <w:trPr/>
        <w:tc>
          <w:tcPr>
            <w:tcW w:w="720"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224.6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107.5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46.2</w:t>
                  </w:r>
                </w:p>
              </w:tc>
            </w:tr>
          </w:tbl>
          <w:p>
            <w:pPr>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bl>
          <w:p>
            <w:pPr>
              <w:spacing w:after="0" w:line="240" w:lineRule="auto"/>
            </w:pPr>
          </w:p>
        </w:tc>
        <w:tc>
          <w:tcPr>
            <w:tcW w:w="810" w:type="dxa"/>
          </w:tcPr>
          <w:p>
            <w:pPr>
              <w:pStyle w:val="EmptyCellLayoutStyle"/>
              <w:spacing w:after="0" w:line="240" w:lineRule="auto"/>
            </w:pPr>
          </w:p>
        </w:tc>
      </w:tr>
      <w:tr>
        <w:trPr>
          <w:trHeight w:val="1700" w:hRule="atLeast"/>
        </w:trPr>
        <w:tc>
          <w:tcPr>
            <w:tcW w:w="720"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r>
        <w:trPr>
          <w:trHeight w:val="360" w:hRule="atLeast"/>
        </w:trPr>
        <w:tc>
          <w:tcPr>
            <w:tcW w:w="720" w:type="dxa"/>
          </w:tcPr>
          <w:p>
            <w:pPr>
              <w:pStyle w:val="EmptyCellLayoutStyle"/>
              <w:spacing w:after="0" w:line="240" w:lineRule="auto"/>
            </w:pPr>
          </w:p>
        </w:tc>
        <w:tc>
          <w:tcPr>
            <w:tcW w:w="7880" w:type="dxa"/>
          </w:tcPr>
          <w:p>
            <w:pPr>
              <w:pStyle w:val="EmptyCellLayoutStyle"/>
              <w:spacing w:after="0" w:line="240" w:lineRule="auto"/>
            </w:pPr>
          </w:p>
        </w:tc>
        <w:tc>
          <w:tcPr>
            <w:tcW w:w="810" w:type="dxa"/>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