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06. 09. 2022</w:t>
                  </w:r>
                </w:p>
              </w:tc>
            </w:tr>
          </w:tbl>
          <w:p>
            <w:pPr>
              <w:spacing w:after="0" w:line="240" w:lineRule="auto"/>
            </w:pPr>
          </w:p>
        </w:tc>
      </w:tr>
      <w:tr>
        <w:trPr>
          <w:trHeight w:val="20" w:hRule="atLeast"/>
        </w:trPr>
        <w:tc>
          <w:tcPr>
            <w:tcW w:w="9411" w:type="dxa"/>
          </w:tcPr>
          <w:p>
            <w:pPr>
              <w:pStyle w:val="EmptyCellLayoutStyle"/>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39"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05. 09. 2022 bylo nově diagnostikováno 2 756 případů onemocnění COVID-19 a dále 1 302 suspektních reinfekcí. Průměrný denní počet záchytů minulý týden byl 1 565 případů. Ve srovnání relativní změny mezi týdny dosahuje počet zachycených případů hodnoty 1,2%. Celkový 7denní počet nově potvrzených případů standardizovaný na 100 tisíc obyvatel dosahuje hodnoty 102,4. Aktuální hodnota reprodukčního čísla je 1.00 (7denní časové okno). Hodnota reprodukčního čísla pro 14denní časové okno je 0.98. Dne 05. 09. 2022 bylo nově diagnostikováno  714 nových případů ve věku 65+ (25,9% celku) a dále  351 nových případů ve věku 75+ (12,7%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05. 09. 2022 nahlášen ve výši  81 (z toho  63 ve věku 65+ a  50 ve věku 75+). Celkem nyní registrujeme  617 všech hospitalizovaných pacientů s COVID-19, z toho pacientů na JIP:  51 a z toho pacientů na UPV:  10 a ECMO:  0. Ve srovnání relativní změny mezi týdny dosahuje celkový počet hospitalizovaných pacientů hodnoty -20,4%.</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05. 09. 2022 bylo provedeno 5 008 testů PCR a 5 575 antigenních testů, a to u 10 343 unikátních testovaných osob. Testy s preventivní indikací a prováděné v rámci plošného testování tvořily 11,8% celkového počtu testů. Na celkovém počtu potvrzených 2 756  diagnóz COVID-19 se AG testy podílely z 51,7%. COVID-19 byl prokázán u  192 asymptomatických osob, z toho v  25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86"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0" w:type="dxa"/>
          </w:tcPr>
          <w:p>
            <w:pPr>
              <w:pStyle w:val="EmptyCellLayoutStyle"/>
              <w:spacing w:after="0" w:line="240" w:lineRule="auto"/>
            </w:pPr>
          </w:p>
        </w:tc>
        <w:tc>
          <w:tcPr>
            <w:tcW w:w="9411" w:type="dxa"/>
            <w:hMerge w:val="restart"/>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0" w:type="dxa"/>
            <w:hMerge w:val="restart"/>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30,9%</w:t>
                  </w:r>
                  <w:r>
                    <w:rPr>
                      <w:rFonts w:ascii="Arial" w:hAnsi="Arial" w:eastAsia="Arial"/>
                      <w:color w:val="212529"/>
                      <w:sz w:val="22"/>
                    </w:rPr>
                    <w:br/>
                    <w:t xml:space="preserve">-       testy s epidemiologickou indikací (rizikové kontakty, trasování) mají pozitivitu 20,0%</w:t>
                  </w:r>
                  <w:r>
                    <w:rPr>
                      <w:rFonts w:ascii="Arial" w:hAnsi="Arial" w:eastAsia="Arial"/>
                      <w:color w:val="212529"/>
                      <w:sz w:val="22"/>
                    </w:rPr>
                    <w:br/>
                    <w:t xml:space="preserve">-       testy s preventivní indikací a při plošném testování dosahují pozitivity 6,2%</w:t>
                  </w:r>
                </w:p>
              </w:tc>
            </w:tr>
          </w:tbl>
          <w:p>
            <w:pPr>
              <w:spacing w:after="0" w:line="240" w:lineRule="auto"/>
            </w:pPr>
          </w:p>
        </w:tc>
        <w:tc>
          <w:tcPr>
            <w:tcW w:w="9411" w:type="dxa"/>
            <w:hMerge w:val="continue"/>
          </w:tcPr>
          <w:p>
            <w:pPr>
              <w:pStyle w:val="EmptyCellLayoutStyle"/>
              <w:spacing w:after="0" w:line="240" w:lineRule="auto"/>
            </w:pPr>
          </w:p>
        </w:tc>
      </w:tr>
      <w:tr>
        <w:trPr>
          <w:trHeight w:val="43" w:hRule="atLeast"/>
        </w:trPr>
        <w:tc>
          <w:tcPr>
            <w:tcW w:w="0" w:type="dxa"/>
          </w:tcPr>
          <w:p>
            <w:pPr>
              <w:pStyle w:val="EmptyCellLayoutStyle"/>
              <w:spacing w:after="0" w:line="240" w:lineRule="auto"/>
            </w:pPr>
          </w:p>
        </w:tc>
        <w:tc>
          <w:tcPr>
            <w:tcW w:w="9411" w:type="dxa"/>
          </w:tcPr>
          <w:p>
            <w:pPr>
              <w:pStyle w:val="EmptyCellLayoutStyle"/>
              <w:spacing w:after="0" w:line="240" w:lineRule="auto"/>
            </w:pPr>
          </w:p>
        </w:tc>
      </w:tr>
      <w:tr>
        <w:trPr/>
        <w:tc>
          <w:tcPr>
            <w:tcW w:w="0"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9411" w:type="dxa"/>
            <w:hMerge w:val="continue"/>
          </w:tcPr>
          <w:p>
            <w:pPr>
              <w:pStyle w:val="EmptyCellLayoutStyle"/>
              <w:spacing w:after="0" w:line="240" w:lineRule="auto"/>
            </w:pPr>
          </w:p>
        </w:tc>
      </w:tr>
      <w:tr>
        <w:trPr>
          <w:trHeight w:val="51" w:hRule="atLeast"/>
        </w:trPr>
        <w:tc>
          <w:tcPr>
            <w:tcW w:w="0" w:type="dxa"/>
          </w:tcPr>
          <w:p>
            <w:pPr>
              <w:pStyle w:val="EmptyCellLayoutStyle"/>
              <w:spacing w:after="0" w:line="240" w:lineRule="auto"/>
            </w:pPr>
          </w:p>
        </w:tc>
        <w:tc>
          <w:tcPr>
            <w:tcW w:w="9411" w:type="dxa"/>
          </w:tcPr>
          <w:p>
            <w:pPr>
              <w:pStyle w:val="EmptyCellLayoutStyle"/>
              <w:spacing w:after="0" w:line="240" w:lineRule="auto"/>
            </w:pPr>
          </w:p>
        </w:tc>
      </w:tr>
      <w:tr>
        <w:trPr>
          <w:trHeight w:val="453" w:hRule="atLeast"/>
        </w:trPr>
        <w:tc>
          <w:tcPr>
            <w:tcW w:w="0" w:type="dxa"/>
            <w:hMerge w:val="restart"/>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w:t>
                  </w:r>
                </w:p>
              </w:tc>
            </w:tr>
          </w:tbl>
          <w:p>
            <w:pPr>
              <w:spacing w:after="0" w:line="240" w:lineRule="auto"/>
            </w:pPr>
          </w:p>
        </w:tc>
        <w:tc>
          <w:tcPr>
            <w:tcW w:w="9411" w:type="dxa"/>
            <w:hMerge w:val="continue"/>
          </w:tcPr>
          <w:p>
            <w:pPr>
              <w:pStyle w:val="EmptyCellLayoutStyle"/>
              <w:spacing w:after="0" w:line="240" w:lineRule="auto"/>
            </w:pPr>
          </w:p>
        </w:tc>
      </w:tr>
      <w:tr>
        <w:trPr>
          <w:trHeight w:val="32" w:hRule="atLeast"/>
        </w:trPr>
        <w:tc>
          <w:tcPr>
            <w:tcW w:w="0" w:type="dxa"/>
          </w:tcPr>
          <w:p>
            <w:pPr>
              <w:pStyle w:val="EmptyCellLayoutStyle"/>
              <w:spacing w:after="0" w:line="240" w:lineRule="auto"/>
            </w:pPr>
          </w:p>
        </w:tc>
        <w:tc>
          <w:tcPr>
            <w:tcW w:w="9411" w:type="dxa"/>
          </w:tcPr>
          <w:p>
            <w:pPr>
              <w:pStyle w:val="EmptyCellLayoutStyle"/>
              <w:spacing w:after="0" w:line="240" w:lineRule="auto"/>
            </w:pPr>
          </w:p>
        </w:tc>
      </w:tr>
      <w:tr>
        <w:trPr/>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177 (32.1)</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122.2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236.6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524.7 / 50.3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31.1 % / 20.0 %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360 (27.0)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116.4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230.1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503.9 / 157.9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28.7 % / 17.0 %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283 (23.7)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212.3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422.6 / 47.3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33.7 % / 21.5 %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360 (25.8)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105.7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215.9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444.6 / 63.6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31.0 % / 21.7 %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176 (27.3)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193.3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385.4 / 46.0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33.6 % / 21.5 %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249 (30.5)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101.2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198.0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410.0 / 51.9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32.9 % / 21.8 %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132 (25.9)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100.8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193.8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415.2 / 99.2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33.2 % / 20.9 %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155 (26.2)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96.9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192.2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421.3 / 62.8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28.3 % / 21.7 %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158 (30.2)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94.3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191.1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455.8 / 38.6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29.7 % / 17.6 %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113 (25.5)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92.2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180.6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398.9 / 43.6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31.9 % / 16.6 %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137 (21.7)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92.1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194.1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386.0 / 53.4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33.4 % / 15.5 %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122 (21.0)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91.4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186.9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398.7 / 65.8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30.2 % / 20.4 %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262 (22.0)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91.0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189.2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378.8 / 54.6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32.6 % / 23.0 %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71 (24.2)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79.8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164.0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312.6 / 73.6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34.5 % / 23.4 %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2756 (25.8)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203.5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428.0 / 72.1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31.4 % / 20.2 %</w:t>
                  </w:r>
                </w:p>
              </w:tc>
            </w:tr>
          </w:tbl>
          <w:p>
            <w:pPr>
              <w:spacing w:after="0" w:line="240" w:lineRule="auto"/>
            </w:pPr>
          </w:p>
        </w:tc>
        <w:tc>
          <w:tcPr>
            <w:tcW w:w="9411"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0"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05. 09. 2022                                                                      /generováno 06.09.2022/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05. 09.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04. 09.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5 008</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607</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5 575</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10 343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648</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1 240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9" w:type="dxa"/>
                    <w:bottom w:w="39" w:type="dxa"/>
                    <w:right w:w="39" w:type="dxa"/>
                  </w:tcMar>
                </w:tcPr>
                <w:p>
                  <w:pPr>
                    <w:spacing w:after="0" w:line="240" w:lineRule="auto"/>
                    <w:jc w:val="left"/>
                  </w:pPr>
                  <w:r>
                    <w:rPr>
                      <w:rFonts w:ascii="Arial" w:hAnsi="Arial" w:eastAsia="Arial"/>
                      <w:color w:val="000000"/>
                      <w:sz w:val="20"/>
                    </w:rPr>
                    <w:t xml:space="preserve">...z toho prvotesty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5 338</w:t>
                  </w:r>
                </w:p>
              </w:tc>
              <w:tc>
                <w:tcPr>
                  <w:tcW w:w="1529"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594</w:t>
                  </w:r>
                </w:p>
              </w:tc>
              <w:tc>
                <w:tcPr>
                  <w:tcW w:w="1412" w:type="dxa"/>
                  <w:tcBorders>
                    <w:top w:val="nil"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rPr>
                      <w:sz w:val="0"/>
                    </w:rPr>
                  </w:pP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05. 09.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04. 09.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2 756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177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1 164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29,4%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167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20,9%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1 400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50,8%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45,8%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25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05. 09.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04. 09.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10 583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1 255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6 661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62,9%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644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51,3%</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2 524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23,8%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224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1 246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356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28,4%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152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05. 09.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04. 09.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04. 09.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31,4%</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6,2%</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05. 09.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04. 09.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24 382</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24 250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4 144 270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19 991</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19 544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33 817 579</w:t>
                  </w:r>
                </w:p>
              </w:tc>
            </w:tr>
          </w:tbl>
          <w:p>
            <w:pPr>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20" w:hRule="atLeast"/>
        </w:trPr>
        <w:tc>
          <w:tcPr>
            <w:tcW w:w="720" w:type="dxa"/>
          </w:tcPr>
          <w:p>
            <w:pPr>
              <w:pStyle w:val="EmptyCellLayoutStyle"/>
              <w:spacing w:after="0" w:line="240" w:lineRule="auto"/>
            </w:pPr>
          </w:p>
        </w:tc>
        <w:tc>
          <w:tcPr>
            <w:tcW w:w="0" w:type="dxa"/>
          </w:tcPr>
          <w:p>
            <w:pPr>
              <w:pStyle w:val="EmptyCellLayoutStyle"/>
              <w:spacing w:after="0" w:line="240" w:lineRule="auto"/>
            </w:pPr>
          </w:p>
        </w:tc>
        <w:tc>
          <w:tcPr>
            <w:tcW w:w="7880" w:type="dxa"/>
          </w:tcPr>
          <w:p>
            <w:pPr>
              <w:pStyle w:val="EmptyCellLayoutStyle"/>
              <w:spacing w:after="0" w:line="240" w:lineRule="auto"/>
            </w:pPr>
          </w:p>
        </w:tc>
        <w:tc>
          <w:tcPr>
            <w:tcW w:w="810" w:type="dxa"/>
          </w:tcPr>
          <w:p>
            <w:pPr>
              <w:pStyle w:val="EmptyCellLayoutStyle"/>
              <w:spacing w:after="0" w:line="240" w:lineRule="auto"/>
            </w:pPr>
          </w:p>
        </w:tc>
      </w:tr>
      <w:tr>
        <w:trPr>
          <w:trHeight w:val="1133" w:hRule="atLeast"/>
        </w:trPr>
        <w:tc>
          <w:tcPr>
            <w:tcW w:w="720"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0" w:type="dxa"/>
            <w:hMerge w:val="continue"/>
          </w:tcPr>
          <w:p>
            <w:pPr>
              <w:pStyle w:val="EmptyCellLayoutStyle"/>
              <w:spacing w:after="0" w:line="240" w:lineRule="auto"/>
            </w:pPr>
          </w:p>
        </w:tc>
        <w:tc>
          <w:tcPr>
            <w:tcW w:w="7880" w:type="dxa"/>
            <w:hMerge w:val="continue"/>
          </w:tcPr>
          <w:p>
            <w:pPr>
              <w:pStyle w:val="EmptyCellLayoutStyle"/>
              <w:spacing w:after="0" w:line="240" w:lineRule="auto"/>
            </w:pPr>
          </w:p>
        </w:tc>
        <w:tc>
          <w:tcPr>
            <w:tcW w:w="810" w:type="dxa"/>
            <w:hMerge w:val="continue"/>
          </w:tcPr>
          <w:p>
            <w:pPr>
              <w:pStyle w:val="EmptyCellLayoutStyle"/>
              <w:spacing w:after="0" w:line="240" w:lineRule="auto"/>
            </w:pPr>
          </w:p>
        </w:tc>
      </w:tr>
      <w:tr>
        <w:trPr>
          <w:trHeight w:val="340" w:hRule="atLeast"/>
        </w:trPr>
        <w:tc>
          <w:tcPr>
            <w:tcW w:w="72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06. 09. 2022</w:t>
                  </w:r>
                </w:p>
              </w:tc>
            </w:tr>
          </w:tbl>
          <w:p>
            <w:pPr>
              <w:spacing w:after="0" w:line="240" w:lineRule="auto"/>
            </w:pPr>
          </w:p>
        </w:tc>
        <w:tc>
          <w:tcPr>
            <w:tcW w:w="7880" w:type="dxa"/>
            <w:hMerge w:val="continue"/>
          </w:tcPr>
          <w:p>
            <w:pPr>
              <w:pStyle w:val="EmptyCellLayoutStyle"/>
              <w:spacing w:after="0" w:line="240" w:lineRule="auto"/>
            </w:pPr>
          </w:p>
        </w:tc>
        <w:tc>
          <w:tcPr>
            <w:tcW w:w="810" w:type="dxa"/>
          </w:tcPr>
          <w:p>
            <w:pPr>
              <w:pStyle w:val="EmptyCellLayoutStyle"/>
              <w:spacing w:after="0" w:line="240" w:lineRule="auto"/>
            </w:pPr>
          </w:p>
        </w:tc>
      </w:tr>
      <w:tr>
        <w:trPr>
          <w:trHeight w:val="340" w:hRule="atLeast"/>
        </w:trPr>
        <w:tc>
          <w:tcPr>
            <w:tcW w:w="720" w:type="dxa"/>
          </w:tcPr>
          <w:p>
            <w:pPr>
              <w:pStyle w:val="EmptyCellLayoutStyle"/>
              <w:spacing w:after="0" w:line="240" w:lineRule="auto"/>
            </w:pPr>
          </w:p>
        </w:tc>
        <w:tc>
          <w:tcPr>
            <w:tcW w:w="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POTVRZENÉ PŘÍPADY COVID-19</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715.8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225.6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795.8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565.5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1,226.7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485.5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843.1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313.9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121.9</w:t>
                  </w:r>
                </w:p>
              </w:tc>
            </w:tr>
          </w:tbl>
          <w:p>
            <w:pPr>
              <w:spacing w:after="0" w:line="240" w:lineRule="auto"/>
            </w:pPr>
          </w:p>
        </w:tc>
        <w:tc>
          <w:tcPr>
            <w:tcW w:w="7880" w:type="dxa"/>
            <w:hMerge w:val="continue"/>
          </w:tcPr>
          <w:p>
            <w:pPr>
              <w:pStyle w:val="EmptyCellLayoutStyle"/>
              <w:spacing w:after="0" w:line="240" w:lineRule="auto"/>
            </w:pPr>
          </w:p>
        </w:tc>
        <w:tc>
          <w:tcPr>
            <w:tcW w:w="8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r>
          </w:tbl>
          <w:p>
            <w:pPr>
              <w:spacing w:after="0" w:line="240" w:lineRule="auto"/>
            </w:pPr>
          </w:p>
        </w:tc>
        <w:tc>
          <w:tcPr>
            <w:tcW w:w="8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r>
                    <w:rPr>
                      <w:rFonts w:ascii="Segoe UI" w:hAnsi="Segoe UI" w:eastAsia="Segoe UI"/>
                      <w:b/>
                      <w:color w:val="000000"/>
                      <w:sz w:val="20"/>
                    </w:rPr>
                    <w:t xml:space="preserve">*</w:t>
                  </w:r>
                  <w:r>
                    <w:rPr>
                      <w:rFonts w:ascii="Arial" w:hAnsi="Arial" w:eastAsia="Arial"/>
                      <w:b/>
                      <w:color w:val="000000"/>
                      <w:sz w:val="20"/>
                    </w:rPr>
                    <w:t xml:space="preserve">**</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bl>
          <w:p>
            <w:pPr>
              <w:spacing w:after="0" w:line="240" w:lineRule="auto"/>
            </w:pPr>
          </w:p>
        </w:tc>
        <w:tc>
          <w:tcPr>
            <w:tcW w:w="810" w:type="dxa"/>
          </w:tcPr>
          <w:p>
            <w:pPr>
              <w:pStyle w:val="EmptyCellLayoutStyle"/>
              <w:spacing w:after="0" w:line="240" w:lineRule="auto"/>
            </w:pPr>
          </w:p>
        </w:tc>
      </w:tr>
      <w:tr>
        <w:trPr/>
        <w:tc>
          <w:tcPr>
            <w:tcW w:w="720"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7880" w:type="dxa"/>
            <w:hMerge w:val="continue"/>
          </w:tcPr>
          <w:p>
            <w:pPr>
              <w:pStyle w:val="EmptyCellLayoutStyle"/>
              <w:spacing w:after="0" w:line="240" w:lineRule="auto"/>
            </w:pPr>
          </w:p>
        </w:tc>
        <w:tc>
          <w:tcPr>
            <w:tcW w:w="810"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187.1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173.4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184.5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83.3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235.1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12.8</w:t>
                  </w:r>
                </w:p>
              </w:tc>
            </w:tr>
          </w:tbl>
          <w:p>
            <w:pPr>
              <w:spacing w:after="0" w:line="240" w:lineRule="auto"/>
            </w:pPr>
          </w:p>
        </w:tc>
        <w:tc>
          <w:tcPr>
            <w:tcW w:w="8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720"/>
        <w:gridCol w:w="7880"/>
        <w:gridCol w:w="810"/>
      </w:tblGrid>
      <w:tr>
        <w:trPr>
          <w:trHeight w:val="340" w:hRule="atLeast"/>
        </w:trPr>
        <w:tc>
          <w:tcPr>
            <w:tcW w:w="720" w:type="dxa"/>
          </w:tcPr>
          <w:p>
            <w:pPr>
              <w:pStyle w:val="EmptyCellLayoutStyle"/>
              <w:spacing w:after="0" w:line="240" w:lineRule="auto"/>
            </w:pPr>
          </w:p>
        </w:tc>
        <w:tc>
          <w:tcPr>
            <w:tcW w:w="7880" w:type="dxa"/>
          </w:tcPr>
          <w:tbl>
            <w:tblPr>
              <w:tblCellMar>
                <w:top w:w="0" w:type="dxa"/>
                <w:left w:w="0" w:type="dxa"/>
                <w:bottom w:w="0" w:type="dxa"/>
                <w:right w:w="0" w:type="dxa"/>
              </w:tblCellMar>
            </w:tblPr>
            <w:tblGrid>
              <w:gridCol w:w="7880"/>
            </w:tblGrid>
            <w:tr>
              <w:trPr>
                <w:trHeight w:val="262" w:hRule="atLeast"/>
              </w:trPr>
              <w:tc>
                <w:tcPr>
                  <w:tcW w:w="7880"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810" w:type="dxa"/>
          </w:tcPr>
          <w:p>
            <w:pPr>
              <w:pStyle w:val="EmptyCellLayoutStyle"/>
              <w:spacing w:after="0" w:line="240" w:lineRule="auto"/>
            </w:pPr>
          </w:p>
        </w:tc>
      </w:tr>
      <w:tr>
        <w:trPr/>
        <w:tc>
          <w:tcPr>
            <w:tcW w:w="720" w:type="dxa"/>
          </w:tcPr>
          <w:p>
            <w:pPr>
              <w:pStyle w:val="EmptyCellLayoutStyle"/>
              <w:spacing w:after="0" w:line="240" w:lineRule="auto"/>
            </w:pPr>
          </w:p>
        </w:tc>
        <w:tc>
          <w:tcPr>
            <w:tcW w:w="788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r>
                    <w:rPr>
                      <w:rFonts w:ascii="Segoe UI" w:hAnsi="Segoe UI" w:eastAsia="Segoe UI"/>
                      <w:b/>
                      <w:color w:val="000000"/>
                      <w:sz w:val="20"/>
                    </w:rPr>
                    <w:t xml:space="preserve">*</w:t>
                  </w:r>
                  <w:r>
                    <w:rPr>
                      <w:rFonts w:ascii="Arial" w:hAnsi="Arial" w:eastAsia="Arial"/>
                      <w:b/>
                      <w:color w:val="000000"/>
                      <w:sz w:val="20"/>
                    </w:rPr>
                    <w:t xml:space="preserve">**</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Segoe UI" w:hAnsi="Segoe UI" w:eastAsia="Segoe UI"/>
                      <w:b/>
                      <w:color w:val="000000"/>
                      <w:sz w:val="20"/>
                    </w:rPr>
                    <w:t xml:space="preserve">Dokončené očkování s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bl>
          <w:p>
            <w:pPr>
              <w:spacing w:after="0" w:line="240" w:lineRule="auto"/>
            </w:pPr>
          </w:p>
        </w:tc>
        <w:tc>
          <w:tcPr>
            <w:tcW w:w="810" w:type="dxa"/>
          </w:tcPr>
          <w:p>
            <w:pPr>
              <w:pStyle w:val="EmptyCellLayoutStyle"/>
              <w:spacing w:after="0" w:line="240" w:lineRule="auto"/>
            </w:pPr>
          </w:p>
        </w:tc>
      </w:tr>
      <w:tr>
        <w:trPr>
          <w:trHeight w:val="1700" w:hRule="atLeast"/>
        </w:trPr>
        <w:tc>
          <w:tcPr>
            <w:tcW w:w="720"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7880" w:type="dxa"/>
            <w:hMerge w:val="continue"/>
          </w:tcPr>
          <w:p>
            <w:pPr>
              <w:pStyle w:val="EmptyCellLayoutStyle"/>
              <w:spacing w:after="0" w:line="240" w:lineRule="auto"/>
            </w:pPr>
          </w:p>
        </w:tc>
        <w:tc>
          <w:tcPr>
            <w:tcW w:w="810" w:type="dxa"/>
            <w:hMerge w:val="continue"/>
          </w:tcPr>
          <w:p>
            <w:pPr>
              <w:pStyle w:val="EmptyCellLayoutStyle"/>
              <w:spacing w:after="0" w:line="240" w:lineRule="auto"/>
            </w:pPr>
          </w:p>
        </w:tc>
      </w:tr>
      <w:tr>
        <w:trPr>
          <w:trHeight w:val="360" w:hRule="atLeast"/>
        </w:trPr>
        <w:tc>
          <w:tcPr>
            <w:tcW w:w="720" w:type="dxa"/>
          </w:tcPr>
          <w:p>
            <w:pPr>
              <w:pStyle w:val="EmptyCellLayoutStyle"/>
              <w:spacing w:after="0" w:line="240" w:lineRule="auto"/>
            </w:pPr>
          </w:p>
        </w:tc>
        <w:tc>
          <w:tcPr>
            <w:tcW w:w="7880" w:type="dxa"/>
          </w:tcPr>
          <w:p>
            <w:pPr>
              <w:pStyle w:val="EmptyCellLayoutStyle"/>
              <w:spacing w:after="0" w:line="240" w:lineRule="auto"/>
            </w:pPr>
          </w:p>
        </w:tc>
        <w:tc>
          <w:tcPr>
            <w:tcW w:w="810" w:type="dxa"/>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