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8CF4" w14:textId="55A1FDF8" w:rsidR="00E769FA" w:rsidRPr="004A1BCA" w:rsidRDefault="00E769FA" w:rsidP="004A1BCA">
      <w:pPr>
        <w:pStyle w:val="Mstoadatum"/>
        <w:rPr>
          <w:noProof/>
        </w:rPr>
      </w:pPr>
      <w:r w:rsidRPr="004A1BCA">
        <w:rPr>
          <w:noProof/>
        </w:rPr>
        <w:t xml:space="preserve">Praha </w:t>
      </w:r>
      <w:r w:rsidRPr="004A1BCA">
        <w:t xml:space="preserve">… </w:t>
      </w:r>
    </w:p>
    <w:p w14:paraId="66EF37CB" w14:textId="6C360267" w:rsidR="00E769FA" w:rsidRPr="004A1BCA" w:rsidRDefault="00E769FA" w:rsidP="004A1BCA">
      <w:pPr>
        <w:pStyle w:val="slojednac"/>
      </w:pPr>
      <w:r w:rsidRPr="004A1BCA">
        <w:t>Č. j.: …</w:t>
      </w:r>
    </w:p>
    <w:bookmarkStart w:id="0" w:name="Text3"/>
    <w:p w14:paraId="023C47B5" w14:textId="77777777" w:rsidR="00E769FA" w:rsidRPr="004A1BCA" w:rsidRDefault="00E769FA" w:rsidP="004A1BCA">
      <w:pPr>
        <w:pStyle w:val="PID"/>
      </w:pPr>
      <w:r w:rsidRPr="004A1BCA">
        <w:fldChar w:fldCharType="begin">
          <w:ffData>
            <w:name w:val="Text3"/>
            <w:enabled/>
            <w:calcOnExit w:val="0"/>
            <w:statusText w:type="text" w:val="MSWField: pisemnost.id_pisemnosti[#0a454881-2b49-4c48-a15f-94d549190179#]"/>
            <w:textInput>
              <w:default w:val="ID pisemnosti"/>
            </w:textInput>
          </w:ffData>
        </w:fldChar>
      </w:r>
      <w:r w:rsidRPr="004A1BCA">
        <w:instrText xml:space="preserve"> FORMTEXT </w:instrText>
      </w:r>
      <w:r w:rsidRPr="004A1BCA">
        <w:fldChar w:fldCharType="separate"/>
      </w:r>
      <w:r w:rsidRPr="004A1BCA">
        <w:rPr>
          <w:noProof/>
        </w:rPr>
        <w:t>ID pisemnosti</w:t>
      </w:r>
      <w:r w:rsidRPr="004A1BCA">
        <w:fldChar w:fldCharType="end"/>
      </w:r>
      <w:bookmarkEnd w:id="0"/>
    </w:p>
    <w:p w14:paraId="5D979FE0" w14:textId="77777777" w:rsidR="00E769FA" w:rsidRPr="004A1BCA" w:rsidRDefault="00E769FA" w:rsidP="004A1BCA">
      <w:pPr>
        <w:pStyle w:val="Nadpis1"/>
      </w:pPr>
      <w:r w:rsidRPr="004A1BCA">
        <w:t>ROZHODNUTÍ</w:t>
      </w:r>
    </w:p>
    <w:p w14:paraId="67004D1D" w14:textId="3F3EBF78" w:rsidR="003B686E" w:rsidRPr="004A1BCA" w:rsidRDefault="003B686E" w:rsidP="004A1BCA">
      <w:pPr>
        <w:keepNext/>
        <w:spacing w:line="276" w:lineRule="auto"/>
        <w:jc w:val="center"/>
        <w:outlineLvl w:val="1"/>
        <w:rPr>
          <w:rFonts w:cs="Arial"/>
          <w:b/>
          <w:bCs/>
        </w:rPr>
      </w:pPr>
      <w:r w:rsidRPr="004A1BCA">
        <w:rPr>
          <w:rFonts w:cs="Arial"/>
          <w:b/>
          <w:bCs/>
        </w:rPr>
        <w:t xml:space="preserve">o poskytnutí státní dotace </w:t>
      </w:r>
      <w:r w:rsidR="001F60A9" w:rsidRPr="004A1BCA">
        <w:rPr>
          <w:rFonts w:cs="Arial"/>
          <w:b/>
          <w:bCs/>
        </w:rPr>
        <w:t>na podporu mimořádného finančního ohodnocení zaměstnanců poskytovatelů lůžkové péče v souvislosti s epidemií COVID-19</w:t>
      </w:r>
      <w:r w:rsidRPr="004A1BCA">
        <w:rPr>
          <w:rFonts w:cs="Arial"/>
          <w:b/>
          <w:bCs/>
        </w:rPr>
        <w:t xml:space="preserve"> </w:t>
      </w:r>
      <w:r w:rsidR="00E769FA" w:rsidRPr="004A1BCA">
        <w:rPr>
          <w:rFonts w:cs="Arial"/>
          <w:b/>
          <w:bCs/>
        </w:rPr>
        <w:t xml:space="preserve">v rámci mimořádného dotačního řízení číslo: </w:t>
      </w:r>
      <w:r w:rsidR="004A1BCA" w:rsidRPr="004A1BCA">
        <w:rPr>
          <w:rFonts w:cs="Arial"/>
          <w:b/>
          <w:bCs/>
        </w:rPr>
        <w:t>…</w:t>
      </w:r>
      <w:r w:rsidR="00E769FA" w:rsidRPr="004A1BCA">
        <w:rPr>
          <w:rFonts w:cs="Arial"/>
          <w:b/>
          <w:bCs/>
        </w:rPr>
        <w:t>/2020/</w:t>
      </w:r>
      <w:r w:rsidR="00730C31" w:rsidRPr="004A1BCA">
        <w:rPr>
          <w:rFonts w:cs="Arial"/>
          <w:b/>
          <w:bCs/>
        </w:rPr>
        <w:t>…</w:t>
      </w:r>
      <w:r w:rsidR="00E769FA" w:rsidRPr="004A1BCA">
        <w:rPr>
          <w:rFonts w:cs="Arial"/>
          <w:b/>
          <w:bCs/>
        </w:rPr>
        <w:t>/</w:t>
      </w:r>
      <w:r w:rsidR="001F60A9" w:rsidRPr="004A1BCA">
        <w:rPr>
          <w:rFonts w:cs="Arial"/>
          <w:b/>
          <w:bCs/>
        </w:rPr>
        <w:t>CAU</w:t>
      </w:r>
    </w:p>
    <w:p w14:paraId="1863C783" w14:textId="0AFB3D4C" w:rsidR="00E769FA" w:rsidRPr="004A1BCA" w:rsidRDefault="00E769FA" w:rsidP="004A1BCA">
      <w:pPr>
        <w:keepNext/>
        <w:spacing w:line="276" w:lineRule="auto"/>
        <w:jc w:val="center"/>
        <w:outlineLvl w:val="1"/>
        <w:rPr>
          <w:szCs w:val="22"/>
        </w:rPr>
      </w:pPr>
      <w:r w:rsidRPr="004A1BCA">
        <w:rPr>
          <w:szCs w:val="22"/>
        </w:rPr>
        <w:t>(dále jen „Rozhodnutí“)</w:t>
      </w:r>
    </w:p>
    <w:p w14:paraId="636B360B" w14:textId="77777777" w:rsidR="006F7943" w:rsidRPr="004A1BCA" w:rsidRDefault="006F7943" w:rsidP="004A1BCA">
      <w:pPr>
        <w:keepNext/>
        <w:spacing w:line="276" w:lineRule="auto"/>
        <w:jc w:val="center"/>
        <w:outlineLvl w:val="1"/>
        <w:rPr>
          <w:rFonts w:cs="Arial"/>
          <w:b/>
          <w:bCs/>
        </w:rPr>
      </w:pPr>
    </w:p>
    <w:p w14:paraId="46E9B87E" w14:textId="6B661C20" w:rsidR="00E769FA" w:rsidRPr="004A1BCA" w:rsidRDefault="00E769FA" w:rsidP="004A1BCA">
      <w:pPr>
        <w:spacing w:before="120" w:line="276" w:lineRule="auto"/>
        <w:rPr>
          <w:rFonts w:cs="Arial"/>
          <w:szCs w:val="22"/>
        </w:rPr>
      </w:pPr>
      <w:r w:rsidRPr="004A1BCA">
        <w:rPr>
          <w:rFonts w:cs="Arial"/>
          <w:szCs w:val="22"/>
        </w:rPr>
        <w:t>Ministerstvo zdravotnictví České republiky se sídlem Palackého náměstí 4, 128 01 Praha 2, IČO:</w:t>
      </w:r>
      <w:r w:rsidRPr="004A1BCA">
        <w:rPr>
          <w:rFonts w:ascii="Trebuchet MS" w:hAnsi="Trebuchet MS"/>
          <w:color w:val="444444"/>
          <w:sz w:val="18"/>
          <w:szCs w:val="18"/>
          <w:shd w:val="clear" w:color="auto" w:fill="FFFFFF"/>
        </w:rPr>
        <w:t xml:space="preserve"> </w:t>
      </w:r>
      <w:r w:rsidRPr="004A1BCA">
        <w:rPr>
          <w:rFonts w:cs="Arial"/>
          <w:szCs w:val="22"/>
        </w:rPr>
        <w:t xml:space="preserve">00024341 (dále také „poskytovatel dotace“ či „MZ“) jakožto poskytovatel dotace dle § 14 odst. 2 zákona č. 218/2000 Sb., o rozpočtových pravidlech a o změně některých souvisejících zákonů (dále jen „rozpočtová pravidla“), ve znění pozdějších předpisů, rozhodlo o </w:t>
      </w:r>
      <w:r w:rsidRPr="004A1BCA">
        <w:rPr>
          <w:rFonts w:cs="Arial"/>
          <w:b/>
          <w:szCs w:val="22"/>
        </w:rPr>
        <w:t>žádosti o</w:t>
      </w:r>
      <w:r w:rsidR="00A0404A" w:rsidRPr="004A1BCA">
        <w:rPr>
          <w:rFonts w:cs="Arial"/>
          <w:b/>
          <w:szCs w:val="22"/>
        </w:rPr>
        <w:t> </w:t>
      </w:r>
      <w:r w:rsidRPr="004A1BCA">
        <w:rPr>
          <w:rFonts w:cs="Arial"/>
          <w:b/>
          <w:szCs w:val="22"/>
        </w:rPr>
        <w:t>dotaci v</w:t>
      </w:r>
      <w:r w:rsidR="00BA3BA4" w:rsidRPr="004A1BCA">
        <w:rPr>
          <w:rFonts w:cs="Arial"/>
          <w:b/>
          <w:szCs w:val="22"/>
        </w:rPr>
        <w:t xml:space="preserve"> rámci </w:t>
      </w:r>
      <w:r w:rsidR="003B686E" w:rsidRPr="004A1BCA">
        <w:rPr>
          <w:rFonts w:cs="Arial"/>
          <w:b/>
          <w:szCs w:val="22"/>
        </w:rPr>
        <w:t>Dotační</w:t>
      </w:r>
      <w:r w:rsidR="00BA3BA4" w:rsidRPr="004A1BCA">
        <w:rPr>
          <w:rFonts w:cs="Arial"/>
          <w:b/>
          <w:szCs w:val="22"/>
        </w:rPr>
        <w:t>ho</w:t>
      </w:r>
      <w:r w:rsidR="003B686E" w:rsidRPr="004A1BCA">
        <w:rPr>
          <w:rFonts w:cs="Arial"/>
          <w:b/>
          <w:szCs w:val="22"/>
        </w:rPr>
        <w:t xml:space="preserve"> </w:t>
      </w:r>
      <w:r w:rsidRPr="004A1BCA">
        <w:rPr>
          <w:rFonts w:cs="Arial"/>
          <w:b/>
          <w:szCs w:val="22"/>
        </w:rPr>
        <w:t xml:space="preserve">programu </w:t>
      </w:r>
      <w:r w:rsidR="001F60A9" w:rsidRPr="004A1BCA">
        <w:rPr>
          <w:rFonts w:cs="Arial"/>
          <w:b/>
          <w:szCs w:val="22"/>
        </w:rPr>
        <w:t>na podporu mimořádného finančního ohodnocení zaměstnanců poskytovatelů lůžkové péče v souvislosti s</w:t>
      </w:r>
      <w:r w:rsidR="00A0404A" w:rsidRPr="004A1BCA">
        <w:rPr>
          <w:rFonts w:cs="Arial"/>
          <w:b/>
          <w:szCs w:val="22"/>
        </w:rPr>
        <w:t> </w:t>
      </w:r>
      <w:r w:rsidR="001F60A9" w:rsidRPr="004A1BCA">
        <w:rPr>
          <w:rFonts w:cs="Arial"/>
          <w:b/>
          <w:szCs w:val="22"/>
        </w:rPr>
        <w:t xml:space="preserve">epidemií COVID-19 </w:t>
      </w:r>
      <w:r w:rsidRPr="004A1BCA">
        <w:rPr>
          <w:rFonts w:cs="Arial"/>
          <w:szCs w:val="22"/>
        </w:rPr>
        <w:t>podané dle § 14 odst. 3 rozpočtových pravidel, v řízení vedeném podle rozpočtových pravidel a zákona č.</w:t>
      </w:r>
      <w:r w:rsidR="00E75395" w:rsidRPr="004A1BCA">
        <w:rPr>
          <w:rFonts w:cs="Arial"/>
          <w:szCs w:val="22"/>
        </w:rPr>
        <w:t> </w:t>
      </w:r>
      <w:r w:rsidRPr="004A1BCA">
        <w:rPr>
          <w:rFonts w:cs="Arial"/>
          <w:szCs w:val="22"/>
        </w:rPr>
        <w:t>500/2004 Sb., správní řád, ve znění pozdějších předpisů (dále jen „správní řád“), takto:</w:t>
      </w:r>
    </w:p>
    <w:p w14:paraId="0F5793B1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2DC99F94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2AFBC609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17E915DF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148FD722" w14:textId="5F7703A8" w:rsidR="009B6A4C" w:rsidRPr="004A1BCA" w:rsidRDefault="009B6A4C" w:rsidP="004A1BCA">
      <w:pPr>
        <w:spacing w:line="276" w:lineRule="auto"/>
        <w:ind w:left="786"/>
        <w:jc w:val="center"/>
        <w:rPr>
          <w:rFonts w:cs="Arial"/>
          <w:b/>
          <w:szCs w:val="22"/>
        </w:rPr>
      </w:pPr>
      <w:r w:rsidRPr="004A1BCA">
        <w:rPr>
          <w:rFonts w:cs="Arial"/>
          <w:b/>
          <w:szCs w:val="22"/>
        </w:rPr>
        <w:t xml:space="preserve">I. Žadateli </w:t>
      </w:r>
      <w:bookmarkStart w:id="1" w:name="_Hlk46740729"/>
      <w:r w:rsidRPr="004A1BCA">
        <w:rPr>
          <w:rFonts w:cs="Arial"/>
          <w:b/>
          <w:szCs w:val="22"/>
        </w:rPr>
        <w:t>[_</w:t>
      </w:r>
      <w:proofErr w:type="spellStart"/>
      <w:r w:rsidRPr="004A1BCA">
        <w:rPr>
          <w:rFonts w:cs="Arial"/>
          <w:b/>
          <w:szCs w:val="22"/>
        </w:rPr>
        <w:t>prijemce</w:t>
      </w:r>
      <w:proofErr w:type="spellEnd"/>
      <w:r w:rsidRPr="004A1BCA">
        <w:rPr>
          <w:rFonts w:cs="Arial"/>
          <w:b/>
          <w:szCs w:val="22"/>
        </w:rPr>
        <w:t>], [_adresa1]</w:t>
      </w:r>
      <w:bookmarkEnd w:id="1"/>
      <w:r w:rsidRPr="004A1BCA">
        <w:rPr>
          <w:rFonts w:cs="Arial"/>
          <w:b/>
          <w:szCs w:val="22"/>
        </w:rPr>
        <w:t xml:space="preserve">, [_adresa2], IČO: </w:t>
      </w:r>
      <w:bookmarkStart w:id="2" w:name="F001NICO_U"/>
      <w:r w:rsidRPr="004A1BCA">
        <w:rPr>
          <w:rFonts w:cs="Arial"/>
          <w:b/>
          <w:szCs w:val="22"/>
        </w:rPr>
        <w:t>[</w:t>
      </w:r>
      <w:bookmarkEnd w:id="2"/>
      <w:r w:rsidRPr="004A1BCA">
        <w:rPr>
          <w:rFonts w:cs="Arial"/>
          <w:b/>
          <w:szCs w:val="22"/>
        </w:rPr>
        <w:t>_</w:t>
      </w:r>
      <w:proofErr w:type="spellStart"/>
      <w:r w:rsidRPr="004A1BCA">
        <w:rPr>
          <w:rFonts w:cs="Arial"/>
          <w:b/>
          <w:szCs w:val="22"/>
        </w:rPr>
        <w:t>ico</w:t>
      </w:r>
      <w:proofErr w:type="spellEnd"/>
      <w:r w:rsidRPr="004A1BCA">
        <w:rPr>
          <w:rFonts w:cs="Arial"/>
          <w:b/>
          <w:szCs w:val="22"/>
        </w:rPr>
        <w:t xml:space="preserve">], </w:t>
      </w:r>
      <w:r w:rsidR="00CD506F" w:rsidRPr="004A1BCA">
        <w:rPr>
          <w:rFonts w:cs="Arial"/>
          <w:b/>
          <w:szCs w:val="22"/>
        </w:rPr>
        <w:t xml:space="preserve">(dále jen „příjemce dotace“) </w:t>
      </w:r>
      <w:r w:rsidRPr="004A1BCA">
        <w:rPr>
          <w:rFonts w:cs="Arial"/>
          <w:b/>
          <w:szCs w:val="22"/>
        </w:rPr>
        <w:t>na základě žádosti …/</w:t>
      </w:r>
      <w:bookmarkStart w:id="3" w:name="F004ERok_U"/>
      <w:r w:rsidRPr="004A1BCA">
        <w:rPr>
          <w:rFonts w:cs="Arial"/>
          <w:b/>
          <w:szCs w:val="22"/>
        </w:rPr>
        <w:t>20</w:t>
      </w:r>
      <w:bookmarkEnd w:id="3"/>
      <w:r w:rsidRPr="004A1BCA">
        <w:rPr>
          <w:rFonts w:cs="Arial"/>
          <w:b/>
          <w:szCs w:val="22"/>
        </w:rPr>
        <w:t xml:space="preserve">20/… o poskytnutí dotace </w:t>
      </w:r>
      <w:r w:rsidRPr="004A1BCA">
        <w:rPr>
          <w:rFonts w:cs="Arial"/>
          <w:b/>
          <w:szCs w:val="22"/>
        </w:rPr>
        <w:br/>
        <w:t>ve výši</w:t>
      </w:r>
      <w:bookmarkStart w:id="4" w:name="B001vFinPridelene_F"/>
      <w:bookmarkStart w:id="5" w:name="B001vFinPridelene_D"/>
      <w:r w:rsidRPr="004A1BCA">
        <w:rPr>
          <w:rFonts w:cs="Arial"/>
          <w:b/>
          <w:szCs w:val="22"/>
        </w:rPr>
        <w:t xml:space="preserve"> </w:t>
      </w:r>
      <w:bookmarkStart w:id="6" w:name="F001FCelkove_FMPenizeKc"/>
      <w:r w:rsidRPr="004A1BCA">
        <w:rPr>
          <w:rFonts w:cs="Arial"/>
          <w:b/>
          <w:szCs w:val="22"/>
        </w:rPr>
        <w:t>[_dotace] Kč</w:t>
      </w:r>
      <w:bookmarkEnd w:id="6"/>
      <w:r w:rsidRPr="004A1BCA">
        <w:rPr>
          <w:rFonts w:cs="Arial"/>
          <w:b/>
          <w:szCs w:val="22"/>
        </w:rPr>
        <w:t xml:space="preserve"> </w:t>
      </w:r>
      <w:bookmarkEnd w:id="4"/>
      <w:bookmarkEnd w:id="5"/>
    </w:p>
    <w:p w14:paraId="5BF32C42" w14:textId="77777777" w:rsidR="00E769FA" w:rsidRPr="004A1BCA" w:rsidRDefault="00E769FA" w:rsidP="004A1BCA">
      <w:pPr>
        <w:spacing w:line="276" w:lineRule="auto"/>
        <w:rPr>
          <w:rFonts w:cs="Arial"/>
          <w:b/>
          <w:szCs w:val="22"/>
        </w:rPr>
      </w:pPr>
    </w:p>
    <w:p w14:paraId="1AF5C2BC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613C6935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659CF7F5" w14:textId="77777777" w:rsidR="00E769FA" w:rsidRPr="004A1BCA" w:rsidRDefault="00E769FA" w:rsidP="004A1BCA">
      <w:pPr>
        <w:spacing w:line="276" w:lineRule="auto"/>
        <w:ind w:firstLine="708"/>
        <w:jc w:val="center"/>
        <w:rPr>
          <w:rFonts w:cs="Arial"/>
          <w:b/>
          <w:szCs w:val="22"/>
        </w:rPr>
      </w:pPr>
      <w:r w:rsidRPr="004A1BCA">
        <w:rPr>
          <w:rFonts w:cs="Arial"/>
          <w:b/>
          <w:szCs w:val="22"/>
        </w:rPr>
        <w:t>se dle § 14m odst. 1 písm. a) rozpočtových pravidel za podmínek dále stanovených v tomto Rozhodnutí</w:t>
      </w:r>
    </w:p>
    <w:p w14:paraId="51E16CD0" w14:textId="77777777" w:rsidR="00E769FA" w:rsidRPr="004A1BCA" w:rsidRDefault="00E769FA" w:rsidP="004A1BCA">
      <w:pPr>
        <w:spacing w:line="276" w:lineRule="auto"/>
        <w:ind w:firstLine="708"/>
        <w:jc w:val="center"/>
        <w:rPr>
          <w:rFonts w:cs="Arial"/>
          <w:b/>
          <w:szCs w:val="22"/>
        </w:rPr>
      </w:pPr>
    </w:p>
    <w:p w14:paraId="5018363D" w14:textId="77777777" w:rsidR="00E769FA" w:rsidRPr="004A1BCA" w:rsidRDefault="00E769FA" w:rsidP="004A1BCA">
      <w:pPr>
        <w:spacing w:line="276" w:lineRule="auto"/>
        <w:jc w:val="center"/>
        <w:rPr>
          <w:rFonts w:cs="Arial"/>
          <w:b/>
          <w:szCs w:val="22"/>
        </w:rPr>
      </w:pPr>
      <w:r w:rsidRPr="004A1BCA">
        <w:rPr>
          <w:rFonts w:cs="Arial"/>
          <w:b/>
          <w:szCs w:val="22"/>
        </w:rPr>
        <w:t>dotace zcela poskytuje.</w:t>
      </w:r>
    </w:p>
    <w:p w14:paraId="4BE5915C" w14:textId="77777777" w:rsidR="00E769FA" w:rsidRPr="004A1BCA" w:rsidRDefault="00E769FA" w:rsidP="004A1BCA">
      <w:pPr>
        <w:keepNext/>
        <w:pageBreakBefore/>
        <w:spacing w:after="120" w:line="300" w:lineRule="auto"/>
        <w:ind w:left="425"/>
        <w:jc w:val="center"/>
        <w:rPr>
          <w:rFonts w:cs="Arial"/>
          <w:b/>
        </w:rPr>
      </w:pPr>
      <w:r w:rsidRPr="004A1BCA">
        <w:rPr>
          <w:rFonts w:cs="Arial"/>
          <w:b/>
        </w:rPr>
        <w:lastRenderedPageBreak/>
        <w:t>II. Náležitosti Rozhodnutí a další podmínky, které je nutné v souvislosti s použitím dotace splnit, jsou stanoveny takto:</w:t>
      </w:r>
    </w:p>
    <w:tbl>
      <w:tblPr>
        <w:tblpPr w:leftFromText="141" w:rightFromText="141" w:vertAnchor="text" w:horzAnchor="margin" w:tblpY="39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9"/>
        <w:gridCol w:w="3221"/>
        <w:gridCol w:w="992"/>
        <w:gridCol w:w="2835"/>
      </w:tblGrid>
      <w:tr w:rsidR="009B6A4C" w:rsidRPr="004A1BCA" w14:paraId="7334CACE" w14:textId="77777777" w:rsidTr="00E53496">
        <w:trPr>
          <w:cantSplit/>
          <w:trHeight w:val="82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5009" w14:textId="77777777" w:rsidR="009B6A4C" w:rsidRPr="004A1BCA" w:rsidRDefault="009B6A4C" w:rsidP="004A1BCA">
            <w:pPr>
              <w:spacing w:before="120" w:after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Příjemce dotace: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394C67" w14:textId="1C5AAB83" w:rsidR="009B6A4C" w:rsidRPr="004A1BCA" w:rsidRDefault="009B6A4C" w:rsidP="004A1BCA">
            <w:pPr>
              <w:ind w:left="85" w:right="28"/>
              <w:rPr>
                <w:szCs w:val="22"/>
              </w:rPr>
            </w:pPr>
            <w:r w:rsidRPr="004A1BCA">
              <w:rPr>
                <w:szCs w:val="22"/>
              </w:rPr>
              <w:t>[_</w:t>
            </w:r>
            <w:proofErr w:type="spellStart"/>
            <w:r w:rsidRPr="004A1BCA">
              <w:rPr>
                <w:szCs w:val="22"/>
              </w:rPr>
              <w:t>prijemce</w:t>
            </w:r>
            <w:proofErr w:type="spellEnd"/>
            <w:r w:rsidRPr="004A1BCA">
              <w:rPr>
                <w:szCs w:val="22"/>
              </w:rPr>
              <w:t>]</w:t>
            </w:r>
          </w:p>
        </w:tc>
      </w:tr>
      <w:tr w:rsidR="009B6A4C" w:rsidRPr="004A1BCA" w14:paraId="6A7F8E2E" w14:textId="77777777" w:rsidTr="00E53496">
        <w:trPr>
          <w:cantSplit/>
          <w:trHeight w:val="391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344D" w14:textId="77777777" w:rsidR="009B6A4C" w:rsidRPr="004A1BCA" w:rsidRDefault="009B6A4C" w:rsidP="004A1BCA">
            <w:pPr>
              <w:spacing w:before="120" w:after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IČO: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4445E" w14:textId="0D45860C" w:rsidR="009B6A4C" w:rsidRPr="004A1BCA" w:rsidRDefault="009B6A4C" w:rsidP="004A1BCA">
            <w:pPr>
              <w:ind w:left="85" w:right="31"/>
              <w:rPr>
                <w:szCs w:val="22"/>
              </w:rPr>
            </w:pPr>
            <w:r w:rsidRPr="004A1BCA">
              <w:rPr>
                <w:szCs w:val="22"/>
              </w:rPr>
              <w:t>[_</w:t>
            </w:r>
            <w:proofErr w:type="spellStart"/>
            <w:r w:rsidRPr="004A1BCA">
              <w:rPr>
                <w:szCs w:val="22"/>
              </w:rPr>
              <w:t>ico</w:t>
            </w:r>
            <w:proofErr w:type="spellEnd"/>
            <w:r w:rsidRPr="004A1BCA">
              <w:rPr>
                <w:szCs w:val="22"/>
              </w:rPr>
              <w:t>]</w:t>
            </w:r>
          </w:p>
        </w:tc>
      </w:tr>
      <w:tr w:rsidR="00FC2D92" w:rsidRPr="004A1BCA" w14:paraId="18AC8475" w14:textId="77777777" w:rsidTr="00112DEA">
        <w:trPr>
          <w:trHeight w:val="343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7837" w14:textId="47FE0EF2" w:rsidR="00FC2D92" w:rsidRPr="004A1BCA" w:rsidRDefault="00FC2D92" w:rsidP="004A1BCA">
            <w:pPr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Bankovní spojení</w:t>
            </w:r>
            <w:r w:rsidRPr="004A1BCA">
              <w:rPr>
                <w:szCs w:val="22"/>
              </w:rPr>
              <w:br/>
              <w:t xml:space="preserve">příjemce dotace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956" w14:textId="4F312387" w:rsidR="00FC2D92" w:rsidRPr="004A1BCA" w:rsidRDefault="00FC2D92" w:rsidP="004A1BCA">
            <w:pPr>
              <w:ind w:left="85" w:right="99"/>
              <w:rPr>
                <w:szCs w:val="22"/>
              </w:rPr>
            </w:pPr>
            <w:r w:rsidRPr="004A1BCA">
              <w:rPr>
                <w:szCs w:val="22"/>
              </w:rPr>
              <w:t>[_banka1]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EC89" w14:textId="6FCF77D4" w:rsidR="00FC2D92" w:rsidRPr="004A1BCA" w:rsidRDefault="00FC2D92" w:rsidP="004A1BCA">
            <w:pPr>
              <w:ind w:left="85"/>
              <w:rPr>
                <w:szCs w:val="22"/>
              </w:rPr>
            </w:pPr>
            <w:r w:rsidRPr="004A1BCA">
              <w:rPr>
                <w:sz w:val="20"/>
                <w:szCs w:val="20"/>
              </w:rPr>
              <w:t>Č.</w:t>
            </w:r>
            <w:r w:rsidRPr="004A1BCA">
              <w:rPr>
                <w:szCs w:val="22"/>
              </w:rPr>
              <w:t xml:space="preserve"> účtu: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F2AE0" w14:textId="49493A49" w:rsidR="00FC2D92" w:rsidRPr="004A1BCA" w:rsidRDefault="00FC2D92" w:rsidP="004A1BCA">
            <w:pPr>
              <w:ind w:left="85" w:right="99"/>
              <w:rPr>
                <w:szCs w:val="22"/>
              </w:rPr>
            </w:pPr>
            <w:r w:rsidRPr="004A1BCA">
              <w:rPr>
                <w:szCs w:val="22"/>
              </w:rPr>
              <w:t>[_ucet1]</w:t>
            </w:r>
          </w:p>
        </w:tc>
      </w:tr>
      <w:tr w:rsidR="00FC2D92" w:rsidRPr="004A1BCA" w14:paraId="37B7B7D7" w14:textId="77777777" w:rsidTr="00112DEA">
        <w:trPr>
          <w:trHeight w:val="343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4B9" w14:textId="4CFAE1B4" w:rsidR="00FC2D92" w:rsidRPr="004A1BCA" w:rsidRDefault="00FC2D92" w:rsidP="004A1BCA">
            <w:pPr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Bankovní spojení</w:t>
            </w:r>
            <w:r w:rsidRPr="004A1BCA">
              <w:rPr>
                <w:szCs w:val="22"/>
              </w:rPr>
              <w:br/>
              <w:t>zřizovatele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5BB1" w14:textId="2B2CC7EA" w:rsidR="00FC2D92" w:rsidRPr="004A1BCA" w:rsidRDefault="00FC2D92" w:rsidP="004A1BCA">
            <w:pPr>
              <w:ind w:left="85" w:right="99"/>
              <w:rPr>
                <w:szCs w:val="22"/>
              </w:rPr>
            </w:pPr>
            <w:r w:rsidRPr="004A1BCA">
              <w:rPr>
                <w:szCs w:val="22"/>
              </w:rPr>
              <w:t>[_banka2]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804" w14:textId="5BA7097D" w:rsidR="00FC2D92" w:rsidRPr="004A1BCA" w:rsidRDefault="00FC2D92" w:rsidP="004A1BCA">
            <w:pPr>
              <w:ind w:left="85"/>
              <w:rPr>
                <w:sz w:val="20"/>
                <w:szCs w:val="20"/>
              </w:rPr>
            </w:pPr>
            <w:r w:rsidRPr="004A1BCA">
              <w:rPr>
                <w:sz w:val="20"/>
                <w:szCs w:val="20"/>
              </w:rPr>
              <w:t>Č.</w:t>
            </w:r>
            <w:r w:rsidRPr="004A1BCA">
              <w:rPr>
                <w:szCs w:val="22"/>
              </w:rPr>
              <w:t xml:space="preserve"> účtu: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3DED0" w14:textId="108E9726" w:rsidR="00FC2D92" w:rsidRPr="004A1BCA" w:rsidRDefault="00FC2D92" w:rsidP="004A1BCA">
            <w:pPr>
              <w:ind w:left="85" w:right="99"/>
              <w:rPr>
                <w:szCs w:val="22"/>
              </w:rPr>
            </w:pPr>
            <w:r w:rsidRPr="004A1BCA">
              <w:rPr>
                <w:szCs w:val="22"/>
              </w:rPr>
              <w:t>[_ucet2]</w:t>
            </w:r>
          </w:p>
        </w:tc>
      </w:tr>
      <w:tr w:rsidR="00FC2D92" w:rsidRPr="004A1BCA" w14:paraId="139530DF" w14:textId="77777777" w:rsidTr="00E53496">
        <w:trPr>
          <w:trHeight w:val="177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622F02" w14:textId="43D480BB" w:rsidR="00FC2D92" w:rsidRPr="004A1BCA" w:rsidRDefault="00FC2D92" w:rsidP="004A1BCA">
            <w:pPr>
              <w:spacing w:before="120" w:after="120"/>
              <w:ind w:left="85"/>
              <w:rPr>
                <w:color w:val="auto"/>
                <w:szCs w:val="22"/>
              </w:rPr>
            </w:pPr>
            <w:r w:rsidRPr="004A1BCA">
              <w:rPr>
                <w:szCs w:val="22"/>
              </w:rPr>
              <w:t>Dotace bude poskytnuta: převodem na účet příjemce dotace</w:t>
            </w:r>
            <w:r w:rsidRPr="004A1BCA">
              <w:rPr>
                <w:color w:val="FF0000"/>
                <w:szCs w:val="22"/>
              </w:rPr>
              <w:t xml:space="preserve"> </w:t>
            </w:r>
            <w:r w:rsidRPr="004A1BCA">
              <w:rPr>
                <w:color w:val="auto"/>
                <w:szCs w:val="22"/>
              </w:rPr>
              <w:t>či zřizovatele v případě příspěvkových organizací krajů a obcí</w:t>
            </w:r>
          </w:p>
          <w:p w14:paraId="0F0A275F" w14:textId="3F448733" w:rsidR="00FC2D92" w:rsidRPr="004A1BCA" w:rsidRDefault="00FC2D92" w:rsidP="004A1BCA">
            <w:pPr>
              <w:spacing w:before="120" w:after="120"/>
              <w:ind w:left="85"/>
              <w:rPr>
                <w:szCs w:val="22"/>
              </w:rPr>
            </w:pPr>
          </w:p>
        </w:tc>
      </w:tr>
      <w:tr w:rsidR="00FC2D92" w:rsidRPr="004A1BCA" w14:paraId="26E74E98" w14:textId="77777777" w:rsidTr="00E53496">
        <w:trPr>
          <w:cantSplit/>
          <w:trHeight w:val="430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5D8087D1" w14:textId="567F3011" w:rsidR="00FC2D92" w:rsidRPr="004A1BCA" w:rsidRDefault="00FC2D92" w:rsidP="004A1BCA">
            <w:pPr>
              <w:spacing w:line="240" w:lineRule="auto"/>
              <w:ind w:left="85"/>
              <w:jc w:val="center"/>
              <w:rPr>
                <w:szCs w:val="22"/>
              </w:rPr>
            </w:pPr>
            <w:r w:rsidRPr="004A1BCA">
              <w:rPr>
                <w:szCs w:val="22"/>
              </w:rPr>
              <w:t>Název dotačního programu MZ:</w:t>
            </w:r>
          </w:p>
        </w:tc>
      </w:tr>
      <w:tr w:rsidR="00FC2D92" w:rsidRPr="004A1BCA" w14:paraId="4080C9FF" w14:textId="77777777" w:rsidTr="00E53496">
        <w:trPr>
          <w:cantSplit/>
          <w:trHeight w:val="251"/>
        </w:trPr>
        <w:tc>
          <w:tcPr>
            <w:tcW w:w="905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12BEE5C1" w14:textId="1FA0FC95" w:rsidR="00FC2D92" w:rsidRPr="004A1BCA" w:rsidRDefault="00FC2D92" w:rsidP="004A1BCA">
            <w:pPr>
              <w:spacing w:line="240" w:lineRule="auto"/>
              <w:ind w:left="85"/>
              <w:jc w:val="center"/>
              <w:rPr>
                <w:b/>
                <w:szCs w:val="22"/>
              </w:rPr>
            </w:pPr>
            <w:r w:rsidRPr="004A1BCA">
              <w:rPr>
                <w:b/>
                <w:szCs w:val="22"/>
              </w:rPr>
              <w:t>Dotační program</w:t>
            </w:r>
            <w:r w:rsidRPr="004A1BCA">
              <w:t xml:space="preserve"> </w:t>
            </w:r>
            <w:r w:rsidRPr="004A1BCA">
              <w:rPr>
                <w:b/>
                <w:szCs w:val="22"/>
              </w:rPr>
              <w:t>na podporu mimořádného finančního ohodnocení zaměstnanců poskytovatelů lůžkové péče v souvislosti s epidemií COVID-19</w:t>
            </w:r>
          </w:p>
        </w:tc>
      </w:tr>
      <w:tr w:rsidR="00FC2D92" w:rsidRPr="004A1BCA" w14:paraId="406C680E" w14:textId="77777777" w:rsidTr="00E53496">
        <w:trPr>
          <w:cantSplit/>
          <w:trHeight w:val="274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D20DE9" w14:textId="77777777" w:rsidR="00FC2D92" w:rsidRPr="004A1BCA" w:rsidRDefault="00FC2D92" w:rsidP="004A1BCA">
            <w:pPr>
              <w:spacing w:before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Účelové určení dotace:</w:t>
            </w:r>
          </w:p>
        </w:tc>
      </w:tr>
      <w:tr w:rsidR="00FC2D92" w:rsidRPr="004A1BCA" w14:paraId="5C815281" w14:textId="77777777" w:rsidTr="00E53496">
        <w:trPr>
          <w:cantSplit/>
          <w:trHeight w:val="252"/>
        </w:trPr>
        <w:tc>
          <w:tcPr>
            <w:tcW w:w="905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30" w:type="dxa"/>
              <w:bottom w:w="113" w:type="dxa"/>
              <w:right w:w="30" w:type="dxa"/>
            </w:tcMar>
            <w:vAlign w:val="center"/>
            <w:hideMark/>
          </w:tcPr>
          <w:p w14:paraId="7B1B9E99" w14:textId="37C439E9" w:rsidR="00FC2D92" w:rsidRPr="004A1BCA" w:rsidRDefault="00FC2D92" w:rsidP="004A1BCA">
            <w:pPr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Vyplacení odměn zaměstnancům poskytovatelů lůžkové péče v souvislosti s epidemií COVID-19</w:t>
            </w:r>
          </w:p>
          <w:p w14:paraId="7DEE677F" w14:textId="77777777" w:rsidR="00FC2D92" w:rsidRPr="004A1BCA" w:rsidRDefault="00FC2D92" w:rsidP="004A1BCA">
            <w:pPr>
              <w:ind w:left="85"/>
              <w:rPr>
                <w:szCs w:val="22"/>
              </w:rPr>
            </w:pPr>
          </w:p>
          <w:p w14:paraId="19E0B4B5" w14:textId="04A946A8" w:rsidR="00FC2D92" w:rsidRPr="004A1BCA" w:rsidRDefault="00FC2D92" w:rsidP="004A1BCA">
            <w:pPr>
              <w:ind w:left="85"/>
              <w:rPr>
                <w:szCs w:val="22"/>
              </w:rPr>
            </w:pPr>
            <w:r w:rsidRPr="004A1BCA">
              <w:rPr>
                <w:szCs w:val="22"/>
              </w:rPr>
              <w:t xml:space="preserve">Účelový znak, pod kterým budou finanční prostředky sledovány: </w:t>
            </w:r>
            <w:r w:rsidRPr="004A1BCA">
              <w:rPr>
                <w:b/>
                <w:bCs/>
                <w:szCs w:val="22"/>
              </w:rPr>
              <w:t>35</w:t>
            </w:r>
            <w:r w:rsidR="00E75395" w:rsidRPr="004A1BCA">
              <w:rPr>
                <w:b/>
                <w:bCs/>
                <w:szCs w:val="22"/>
              </w:rPr>
              <w:t>025</w:t>
            </w:r>
            <w:r w:rsidRPr="004A1BCA">
              <w:rPr>
                <w:szCs w:val="22"/>
              </w:rPr>
              <w:t xml:space="preserve"> </w:t>
            </w:r>
            <w:r w:rsidR="00E75395" w:rsidRPr="004A1BCA">
              <w:t>– COVID 19 - ohodnocení</w:t>
            </w:r>
          </w:p>
        </w:tc>
      </w:tr>
      <w:tr w:rsidR="00FC2D92" w:rsidRPr="004A1BCA" w14:paraId="11FC7190" w14:textId="77777777" w:rsidTr="00E53496">
        <w:trPr>
          <w:cantSplit/>
          <w:trHeight w:val="250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846F507" w14:textId="77777777" w:rsidR="00FC2D92" w:rsidRPr="004A1BCA" w:rsidRDefault="00FC2D92" w:rsidP="004A1BCA">
            <w:pPr>
              <w:spacing w:before="120" w:after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Název projektu: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5330967" w14:textId="37BE2345" w:rsidR="00FC2D92" w:rsidRPr="004A1BCA" w:rsidRDefault="00FC2D92" w:rsidP="004A1BCA">
            <w:pPr>
              <w:spacing w:before="120" w:after="120"/>
              <w:ind w:left="117"/>
              <w:rPr>
                <w:bCs/>
                <w:szCs w:val="22"/>
              </w:rPr>
            </w:pPr>
            <w:r w:rsidRPr="004A1BCA">
              <w:rPr>
                <w:szCs w:val="22"/>
              </w:rPr>
              <w:t>[_projekt]</w:t>
            </w:r>
          </w:p>
        </w:tc>
      </w:tr>
      <w:tr w:rsidR="00FC2D92" w:rsidRPr="004A1BCA" w14:paraId="1E8206F1" w14:textId="77777777" w:rsidTr="00112DEA">
        <w:trPr>
          <w:cantSplit/>
        </w:trPr>
        <w:tc>
          <w:tcPr>
            <w:tcW w:w="20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9D5D2F" w14:textId="77777777" w:rsidR="00FC2D92" w:rsidRPr="004A1BCA" w:rsidRDefault="00FC2D92" w:rsidP="004A1BCA">
            <w:pPr>
              <w:spacing w:before="120" w:after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Identifikační číslo:</w:t>
            </w:r>
          </w:p>
        </w:tc>
        <w:tc>
          <w:tcPr>
            <w:tcW w:w="322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C8C92" w14:textId="77777777" w:rsidR="00FC2D92" w:rsidRPr="004A1BCA" w:rsidRDefault="00FC2D92" w:rsidP="004A1BCA">
            <w:pPr>
              <w:spacing w:before="120" w:after="120"/>
              <w:ind w:left="85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79953A" w14:textId="77777777" w:rsidR="00FC2D92" w:rsidRPr="004A1BCA" w:rsidRDefault="00FC2D92" w:rsidP="004A1BCA">
            <w:pPr>
              <w:spacing w:before="120" w:after="120"/>
              <w:ind w:left="85"/>
              <w:rPr>
                <w:szCs w:val="22"/>
              </w:rPr>
            </w:pPr>
            <w:r w:rsidRPr="004A1BCA">
              <w:rPr>
                <w:szCs w:val="22"/>
              </w:rPr>
              <w:t>Č.j.: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ECA42" w14:textId="77777777" w:rsidR="00FC2D92" w:rsidRPr="004A1BCA" w:rsidRDefault="00FC2D92" w:rsidP="004A1BCA">
            <w:pPr>
              <w:spacing w:before="120" w:after="120"/>
              <w:ind w:left="85"/>
              <w:rPr>
                <w:szCs w:val="22"/>
              </w:rPr>
            </w:pPr>
          </w:p>
        </w:tc>
      </w:tr>
    </w:tbl>
    <w:p w14:paraId="65E68A71" w14:textId="77777777" w:rsidR="00E769FA" w:rsidRPr="004A1BCA" w:rsidRDefault="00E769FA" w:rsidP="004A1BCA">
      <w:pPr>
        <w:jc w:val="center"/>
        <w:rPr>
          <w:szCs w:val="22"/>
        </w:rPr>
      </w:pPr>
    </w:p>
    <w:p w14:paraId="585A1094" w14:textId="77777777" w:rsidR="00E769FA" w:rsidRPr="004A1BCA" w:rsidRDefault="00E769FA" w:rsidP="004A1BCA">
      <w:pPr>
        <w:jc w:val="center"/>
        <w:rPr>
          <w:szCs w:val="22"/>
        </w:rPr>
      </w:pPr>
    </w:p>
    <w:p w14:paraId="123ADD74" w14:textId="77777777" w:rsidR="00E769FA" w:rsidRPr="004A1BCA" w:rsidRDefault="00E769FA" w:rsidP="004A1BCA">
      <w:pPr>
        <w:jc w:val="center"/>
        <w:rPr>
          <w:szCs w:val="22"/>
        </w:rPr>
      </w:pPr>
    </w:p>
    <w:tbl>
      <w:tblPr>
        <w:tblW w:w="9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1"/>
        <w:gridCol w:w="5811"/>
      </w:tblGrid>
      <w:tr w:rsidR="00634E8A" w:rsidRPr="004A1BCA" w14:paraId="23C5F985" w14:textId="77777777" w:rsidTr="00A45CA2">
        <w:trPr>
          <w:cantSplit/>
          <w:trHeight w:val="70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4E5CE4" w14:textId="115714E7" w:rsidR="00634E8A" w:rsidRPr="004A1BCA" w:rsidRDefault="00634E8A" w:rsidP="004A1BCA">
            <w:pPr>
              <w:ind w:left="85"/>
              <w:rPr>
                <w:szCs w:val="22"/>
              </w:rPr>
            </w:pPr>
            <w:r w:rsidRPr="004A1BCA">
              <w:rPr>
                <w:b/>
                <w:bCs/>
                <w:szCs w:val="22"/>
              </w:rPr>
              <w:t>Schválená</w:t>
            </w:r>
            <w:r w:rsidR="00F86D3B" w:rsidRPr="004A1BCA">
              <w:rPr>
                <w:b/>
                <w:bCs/>
                <w:szCs w:val="22"/>
              </w:rPr>
              <w:t xml:space="preserve"> výše</w:t>
            </w:r>
            <w:r w:rsidRPr="004A1BCA">
              <w:rPr>
                <w:b/>
                <w:bCs/>
                <w:szCs w:val="22"/>
              </w:rPr>
              <w:t xml:space="preserve"> dotace</w:t>
            </w:r>
            <w:r w:rsidR="00F86D3B" w:rsidRPr="004A1BCA">
              <w:rPr>
                <w:b/>
                <w:bCs/>
                <w:szCs w:val="22"/>
              </w:rPr>
              <w:t xml:space="preserve"> </w:t>
            </w:r>
            <w:r w:rsidR="00F86D3B" w:rsidRPr="004A1BCA">
              <w:rPr>
                <w:bCs/>
                <w:szCs w:val="22"/>
              </w:rPr>
              <w:t>(v Kč)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44E880C" w14:textId="4CA82EE4" w:rsidR="00A0404A" w:rsidRPr="004A1BCA" w:rsidRDefault="009B6A4C" w:rsidP="004A1BCA">
            <w:pPr>
              <w:ind w:left="85"/>
              <w:rPr>
                <w:b/>
                <w:bCs/>
                <w:szCs w:val="22"/>
              </w:rPr>
            </w:pPr>
            <w:r w:rsidRPr="004A1BCA">
              <w:rPr>
                <w:szCs w:val="22"/>
              </w:rPr>
              <w:t>[_dotace]</w:t>
            </w:r>
          </w:p>
        </w:tc>
      </w:tr>
      <w:tr w:rsidR="00F86D3B" w:rsidRPr="004A1BCA" w14:paraId="0737195E" w14:textId="77777777" w:rsidTr="00A45CA2">
        <w:trPr>
          <w:cantSplit/>
          <w:trHeight w:val="501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43018" w14:textId="5CF1A3FB" w:rsidR="00F86D3B" w:rsidRPr="004A1BCA" w:rsidRDefault="00F86D3B" w:rsidP="004A1BCA">
            <w:pPr>
              <w:ind w:left="85" w:right="82"/>
              <w:rPr>
                <w:bCs/>
                <w:szCs w:val="22"/>
              </w:rPr>
            </w:pPr>
            <w:r w:rsidRPr="004A1BCA">
              <w:rPr>
                <w:bCs/>
                <w:szCs w:val="22"/>
              </w:rPr>
              <w:t>Platební kalendář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5E2B5" w14:textId="18918D87" w:rsidR="00F86D3B" w:rsidRPr="004A1BCA" w:rsidRDefault="00F86D3B" w:rsidP="004A1BCA">
            <w:pPr>
              <w:ind w:left="85"/>
              <w:rPr>
                <w:bCs/>
                <w:szCs w:val="22"/>
              </w:rPr>
            </w:pPr>
            <w:r w:rsidRPr="004A1BCA">
              <w:rPr>
                <w:bCs/>
                <w:szCs w:val="22"/>
              </w:rPr>
              <w:t>Dotace bude poskytnuta jednorázově.</w:t>
            </w:r>
            <w:r w:rsidR="00A45CA2" w:rsidRPr="004A1BCA">
              <w:rPr>
                <w:bCs/>
                <w:szCs w:val="22"/>
              </w:rPr>
              <w:t xml:space="preserve"> Maximální termín pro vyplacení odměny je stanoven do 30 pracovních dnů ode dne obdržení dotace na účet </w:t>
            </w:r>
            <w:r w:rsidR="00BB0D3A" w:rsidRPr="004A1BCA">
              <w:rPr>
                <w:bCs/>
                <w:szCs w:val="22"/>
              </w:rPr>
              <w:t>příjemce dotace</w:t>
            </w:r>
            <w:r w:rsidR="00A45CA2" w:rsidRPr="004A1BCA">
              <w:rPr>
                <w:bCs/>
                <w:szCs w:val="22"/>
              </w:rPr>
              <w:t xml:space="preserve">. </w:t>
            </w:r>
            <w:r w:rsidR="00BB0D3A" w:rsidRPr="004A1BCA">
              <w:rPr>
                <w:bCs/>
                <w:szCs w:val="22"/>
              </w:rPr>
              <w:t>K</w:t>
            </w:r>
            <w:r w:rsidR="00A45CA2" w:rsidRPr="004A1BCA">
              <w:rPr>
                <w:bCs/>
                <w:szCs w:val="22"/>
              </w:rPr>
              <w:t>raje, hlavní měst</w:t>
            </w:r>
            <w:r w:rsidR="00BB0D3A" w:rsidRPr="004A1BCA">
              <w:rPr>
                <w:bCs/>
                <w:szCs w:val="22"/>
              </w:rPr>
              <w:t>o</w:t>
            </w:r>
            <w:r w:rsidR="00A45CA2" w:rsidRPr="004A1BCA">
              <w:rPr>
                <w:bCs/>
                <w:szCs w:val="22"/>
              </w:rPr>
              <w:t xml:space="preserve"> Prah</w:t>
            </w:r>
            <w:r w:rsidR="00BB0D3A" w:rsidRPr="004A1BCA">
              <w:rPr>
                <w:bCs/>
                <w:szCs w:val="22"/>
              </w:rPr>
              <w:t>a</w:t>
            </w:r>
            <w:r w:rsidR="00A45CA2" w:rsidRPr="004A1BCA">
              <w:rPr>
                <w:bCs/>
                <w:szCs w:val="22"/>
              </w:rPr>
              <w:t xml:space="preserve"> a obce vyplatí </w:t>
            </w:r>
            <w:r w:rsidR="00BB0D3A" w:rsidRPr="004A1BCA">
              <w:rPr>
                <w:bCs/>
                <w:szCs w:val="22"/>
              </w:rPr>
              <w:t>dotaci</w:t>
            </w:r>
            <w:r w:rsidR="00A45CA2" w:rsidRPr="004A1BCA">
              <w:rPr>
                <w:bCs/>
                <w:szCs w:val="22"/>
              </w:rPr>
              <w:t xml:space="preserve"> jednotlivým </w:t>
            </w:r>
            <w:r w:rsidR="00BB0D3A" w:rsidRPr="004A1BCA">
              <w:rPr>
                <w:bCs/>
                <w:szCs w:val="22"/>
              </w:rPr>
              <w:t xml:space="preserve">příjemcům dotace </w:t>
            </w:r>
            <w:r w:rsidR="00A45CA2" w:rsidRPr="004A1BCA">
              <w:rPr>
                <w:bCs/>
                <w:szCs w:val="22"/>
              </w:rPr>
              <w:t>v termínu do 30 dnů od obdržení finančních prostředků na účet</w:t>
            </w:r>
            <w:r w:rsidR="00BB0D3A" w:rsidRPr="004A1BCA">
              <w:rPr>
                <w:bCs/>
                <w:szCs w:val="22"/>
              </w:rPr>
              <w:t xml:space="preserve"> kraje, hlavního města Prahy </w:t>
            </w:r>
            <w:r w:rsidR="000969EF" w:rsidRPr="004A1BCA">
              <w:rPr>
                <w:bCs/>
                <w:szCs w:val="22"/>
              </w:rPr>
              <w:t>nebo</w:t>
            </w:r>
            <w:r w:rsidR="00BB0D3A" w:rsidRPr="004A1BCA">
              <w:rPr>
                <w:bCs/>
                <w:szCs w:val="22"/>
              </w:rPr>
              <w:t xml:space="preserve"> obce</w:t>
            </w:r>
            <w:r w:rsidR="00A45CA2" w:rsidRPr="004A1BCA">
              <w:rPr>
                <w:bCs/>
                <w:szCs w:val="22"/>
              </w:rPr>
              <w:t>.</w:t>
            </w:r>
          </w:p>
        </w:tc>
      </w:tr>
    </w:tbl>
    <w:p w14:paraId="67D4D5EE" w14:textId="23464FC1" w:rsidR="00E769FA" w:rsidRPr="004A1BCA" w:rsidRDefault="00E769FA" w:rsidP="004A1BCA">
      <w:pPr>
        <w:pStyle w:val="Bodypopisu"/>
        <w:spacing w:line="276" w:lineRule="auto"/>
        <w:rPr>
          <w:bCs/>
          <w:color w:val="194167"/>
        </w:rPr>
      </w:pPr>
      <w:r w:rsidRPr="004A1BCA">
        <w:rPr>
          <w:sz w:val="20"/>
          <w:szCs w:val="20"/>
        </w:rPr>
        <w:br w:type="page"/>
      </w:r>
      <w:r w:rsidRPr="004A1BCA">
        <w:lastRenderedPageBreak/>
        <w:t xml:space="preserve">Rozhodnutí je vydáváno ve smyslu § 14 odst. 3 rozpočtových pravidel, </w:t>
      </w:r>
      <w:r w:rsidRPr="004A1BCA">
        <w:rPr>
          <w:bCs/>
        </w:rPr>
        <w:t>v souladu s </w:t>
      </w:r>
      <w:r w:rsidRPr="004A1BCA">
        <w:rPr>
          <w:color w:val="303030"/>
        </w:rPr>
        <w:t>Výzvou</w:t>
      </w:r>
      <w:r w:rsidR="00043DF1" w:rsidRPr="004A1BCA">
        <w:t xml:space="preserve"> </w:t>
      </w:r>
      <w:r w:rsidR="00043DF1" w:rsidRPr="004A1BCA">
        <w:rPr>
          <w:color w:val="303030"/>
        </w:rPr>
        <w:t xml:space="preserve">k podávání žádostí o poskytnutí dotace </w:t>
      </w:r>
      <w:r w:rsidR="00BC0F78" w:rsidRPr="004A1BCA">
        <w:rPr>
          <w:color w:val="303030"/>
        </w:rPr>
        <w:t>z</w:t>
      </w:r>
      <w:r w:rsidR="00043DF1" w:rsidRPr="004A1BCA">
        <w:rPr>
          <w:color w:val="303030"/>
        </w:rPr>
        <w:t xml:space="preserve"> dotačního </w:t>
      </w:r>
      <w:r w:rsidR="00BC0F78" w:rsidRPr="004A1BCA">
        <w:rPr>
          <w:color w:val="303030"/>
        </w:rPr>
        <w:t>programu</w:t>
      </w:r>
      <w:r w:rsidR="00043DF1" w:rsidRPr="004A1BCA">
        <w:rPr>
          <w:color w:val="303030"/>
        </w:rPr>
        <w:t xml:space="preserve"> </w:t>
      </w:r>
      <w:r w:rsidR="00B54561" w:rsidRPr="004A1BCA">
        <w:rPr>
          <w:color w:val="303030"/>
        </w:rPr>
        <w:t>MZ</w:t>
      </w:r>
      <w:r w:rsidR="006F15A0" w:rsidRPr="004A1BCA">
        <w:rPr>
          <w:color w:val="303030"/>
        </w:rPr>
        <w:t xml:space="preserve"> </w:t>
      </w:r>
      <w:r w:rsidR="00043DF1" w:rsidRPr="004A1BCA">
        <w:rPr>
          <w:color w:val="303030"/>
        </w:rPr>
        <w:t>pro rok 2020</w:t>
      </w:r>
      <w:r w:rsidRPr="004A1BCA">
        <w:rPr>
          <w:color w:val="303030"/>
        </w:rPr>
        <w:t xml:space="preserve"> (</w:t>
      </w:r>
      <w:r w:rsidRPr="004A1BCA">
        <w:t>dále jen „Výzva“). Skutečnosti neupravené v tomto Rozhodnutí se řídí Výzvou a příslušnou platnou právní úpravou.</w:t>
      </w:r>
    </w:p>
    <w:p w14:paraId="6B2000CC" w14:textId="73FFEBF8" w:rsidR="00E769FA" w:rsidRPr="004A1BCA" w:rsidRDefault="00216AEE" w:rsidP="004A1BCA">
      <w:pPr>
        <w:pStyle w:val="Bodypopisu"/>
        <w:spacing w:line="276" w:lineRule="auto"/>
      </w:pPr>
      <w:r w:rsidRPr="004A1BCA">
        <w:t xml:space="preserve">Při použití dotace je </w:t>
      </w:r>
      <w:r w:rsidR="00606333" w:rsidRPr="004A1BCA">
        <w:t>p</w:t>
      </w:r>
      <w:r w:rsidRPr="004A1BCA">
        <w:t xml:space="preserve">říjemce </w:t>
      </w:r>
      <w:r w:rsidR="00606333" w:rsidRPr="004A1BCA">
        <w:t xml:space="preserve">dotace </w:t>
      </w:r>
      <w:r w:rsidRPr="004A1BCA">
        <w:t xml:space="preserve">povinen dodržovat podmínky stanovené právními předpisy ČR, tímto Rozhodnutím a pravidly </w:t>
      </w:r>
      <w:r w:rsidR="00606333" w:rsidRPr="004A1BCA">
        <w:t xml:space="preserve">Dotačního </w:t>
      </w:r>
      <w:r w:rsidRPr="004A1BCA">
        <w:t xml:space="preserve">programu </w:t>
      </w:r>
      <w:r w:rsidR="00F32442" w:rsidRPr="004A1BCA">
        <w:t>na podporu mimořádného finančního ohodnocení zaměstnanců poskytovatelů lůžkové péče v souvislosti s epidemií COVID-19</w:t>
      </w:r>
      <w:r w:rsidR="00246D21" w:rsidRPr="004A1BCA">
        <w:t>, které jsou zejména:</w:t>
      </w:r>
    </w:p>
    <w:p w14:paraId="303E7CA5" w14:textId="70A9D27E" w:rsidR="00882947" w:rsidRPr="004A1BCA" w:rsidRDefault="004E4FC0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>Odměny lze vyplatit pouze za ty hodiny, které byly odpracovány na pracovišti v období od 1. března 2020 do 31. května 2020 nebo za pracovní fond zaměstnance v případě nařízené karantény v</w:t>
      </w:r>
      <w:r w:rsidR="006F15A0" w:rsidRPr="004A1BCA">
        <w:t> </w:t>
      </w:r>
      <w:r w:rsidRPr="004A1BCA">
        <w:t>souvislosti s</w:t>
      </w:r>
      <w:r w:rsidR="006F15A0" w:rsidRPr="004A1BCA">
        <w:t> </w:t>
      </w:r>
      <w:r w:rsidRPr="004A1BCA">
        <w:t>výkonem práce nebo pracovní neschopnost</w:t>
      </w:r>
      <w:r w:rsidR="003E7E51" w:rsidRPr="004A1BCA">
        <w:t>í</w:t>
      </w:r>
      <w:r w:rsidRPr="004A1BCA">
        <w:t xml:space="preserve"> způsobené výkonem práce, pokud karanténa nebo pracovní neschopnost vznikla od 1.</w:t>
      </w:r>
      <w:r w:rsidR="006F15A0" w:rsidRPr="004A1BCA">
        <w:t> </w:t>
      </w:r>
      <w:r w:rsidRPr="004A1BCA">
        <w:t>března 2020 do 31. května 2020 a zaměstnavatel vyplác</w:t>
      </w:r>
      <w:r w:rsidR="00D74204" w:rsidRPr="004A1BCA">
        <w:t>el</w:t>
      </w:r>
      <w:r w:rsidRPr="004A1BCA">
        <w:t xml:space="preserve"> zaměstnanci rozdíl mezi nemocenskou a průměrným platem/mzdou za předchozí období podle § 269 </w:t>
      </w:r>
      <w:r w:rsidR="003E7E51" w:rsidRPr="004A1BCA">
        <w:t xml:space="preserve">zákona č. 262/2006 Sb., </w:t>
      </w:r>
      <w:r w:rsidRPr="004A1BCA">
        <w:t>zákoník práce</w:t>
      </w:r>
      <w:r w:rsidR="000E4D69" w:rsidRPr="004A1BCA">
        <w:t xml:space="preserve"> nebo formou mimořádných odměn</w:t>
      </w:r>
      <w:r w:rsidRPr="004A1BCA">
        <w:t>.</w:t>
      </w:r>
    </w:p>
    <w:p w14:paraId="00D7EDC2" w14:textId="7D52093F" w:rsidR="00382B68" w:rsidRPr="004A1BCA" w:rsidRDefault="00B44F6E" w:rsidP="004A1BCA">
      <w:pPr>
        <w:pStyle w:val="xmsolistparagraph"/>
        <w:numPr>
          <w:ilvl w:val="0"/>
          <w:numId w:val="5"/>
        </w:numPr>
        <w:spacing w:line="276" w:lineRule="auto"/>
        <w:ind w:left="567" w:hanging="142"/>
        <w:jc w:val="both"/>
        <w:rPr>
          <w:rFonts w:cs="Arial"/>
          <w:iCs/>
        </w:rPr>
      </w:pPr>
      <w:r w:rsidRPr="004A1BCA">
        <w:rPr>
          <w:rFonts w:ascii="Arial" w:hAnsi="Arial" w:cs="Arial"/>
          <w:iCs/>
        </w:rPr>
        <w:t>Odměnu lze vyplatit pouze za odpracované hodiny v</w:t>
      </w:r>
      <w:r w:rsidR="003E7E51" w:rsidRPr="004A1BCA">
        <w:rPr>
          <w:rFonts w:ascii="Arial" w:hAnsi="Arial" w:cs="Arial"/>
          <w:iCs/>
        </w:rPr>
        <w:t xml:space="preserve"> </w:t>
      </w:r>
      <w:r w:rsidRPr="004A1BCA">
        <w:rPr>
          <w:rFonts w:ascii="Arial" w:hAnsi="Arial" w:cs="Arial"/>
          <w:iCs/>
        </w:rPr>
        <w:t>dny</w:t>
      </w:r>
      <w:r w:rsidR="00382B68" w:rsidRPr="004A1BCA">
        <w:rPr>
          <w:rFonts w:ascii="Arial" w:hAnsi="Arial" w:cs="Arial"/>
          <w:iCs/>
        </w:rPr>
        <w:t xml:space="preserve">, kdy byl </w:t>
      </w:r>
      <w:r w:rsidRPr="004A1BCA">
        <w:rPr>
          <w:rFonts w:ascii="Arial" w:hAnsi="Arial" w:cs="Arial"/>
          <w:iCs/>
        </w:rPr>
        <w:t xml:space="preserve">u </w:t>
      </w:r>
      <w:r w:rsidR="00BA3BA4" w:rsidRPr="004A1BCA">
        <w:rPr>
          <w:rFonts w:ascii="Arial" w:hAnsi="Arial" w:cs="Arial"/>
          <w:iCs/>
        </w:rPr>
        <w:t>příjemce dotace</w:t>
      </w:r>
      <w:r w:rsidRPr="004A1BCA">
        <w:rPr>
          <w:rFonts w:ascii="Arial" w:hAnsi="Arial" w:cs="Arial"/>
          <w:iCs/>
        </w:rPr>
        <w:t xml:space="preserve"> hospitalizován</w:t>
      </w:r>
      <w:r w:rsidR="00382B68" w:rsidRPr="004A1BCA">
        <w:rPr>
          <w:rFonts w:ascii="Arial" w:hAnsi="Arial" w:cs="Arial"/>
          <w:iCs/>
        </w:rPr>
        <w:t xml:space="preserve"> alespoň jeden pacient</w:t>
      </w:r>
      <w:r w:rsidR="00E31966" w:rsidRPr="004A1BCA">
        <w:rPr>
          <w:rFonts w:ascii="Arial" w:hAnsi="Arial" w:cs="Arial"/>
          <w:iCs/>
        </w:rPr>
        <w:t xml:space="preserve">, jehož péče byla </w:t>
      </w:r>
      <w:r w:rsidR="00382B68" w:rsidRPr="004A1BCA">
        <w:rPr>
          <w:rFonts w:ascii="Arial" w:hAnsi="Arial" w:cs="Arial"/>
          <w:iCs/>
        </w:rPr>
        <w:t>hrazen</w:t>
      </w:r>
      <w:r w:rsidR="00E31966" w:rsidRPr="004A1BCA">
        <w:rPr>
          <w:rFonts w:ascii="Arial" w:hAnsi="Arial" w:cs="Arial"/>
          <w:iCs/>
        </w:rPr>
        <w:t>a</w:t>
      </w:r>
      <w:r w:rsidR="00382B68" w:rsidRPr="004A1BCA">
        <w:rPr>
          <w:rFonts w:ascii="Arial" w:hAnsi="Arial" w:cs="Arial"/>
          <w:iCs/>
        </w:rPr>
        <w:t xml:space="preserve"> z veřejných prostředků</w:t>
      </w:r>
      <w:r w:rsidR="00F203DA" w:rsidRPr="004A1BCA">
        <w:rPr>
          <w:rFonts w:ascii="Arial" w:hAnsi="Arial" w:cs="Arial"/>
          <w:iCs/>
        </w:rPr>
        <w:t xml:space="preserve"> podle § 2 písm. g) zákona č. 320/2001 Sb., o finanční kontrole ve veřejné správě a o změně některých zákonů (zákon o finanční kontrole), ve znění pozdějších předpisů</w:t>
      </w:r>
      <w:r w:rsidR="00382B68" w:rsidRPr="004A1BCA">
        <w:rPr>
          <w:rFonts w:ascii="Arial" w:hAnsi="Arial" w:cs="Arial"/>
          <w:iCs/>
        </w:rPr>
        <w:t>.</w:t>
      </w:r>
    </w:p>
    <w:p w14:paraId="75DAB6AF" w14:textId="0D3F6209" w:rsidR="00882947" w:rsidRPr="004A1BCA" w:rsidRDefault="00882947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 xml:space="preserve">Do odpracovaných hodin se nezahrnuje pracovní neschopnost, nařízená karanténa, ošetřování člena rodiny, čerpání dovolené, otcovská dovolená, překážky v práci na straně zaměstnance, </w:t>
      </w:r>
      <w:r w:rsidR="00367E97" w:rsidRPr="004A1BCA">
        <w:t xml:space="preserve">studijní volno, pracovní volno s náhradou mzdy nebo platu v případě odběru krve nebo návštěvy lékaře, </w:t>
      </w:r>
      <w:r w:rsidRPr="004A1BCA">
        <w:t xml:space="preserve">nároky náhradního volna, které bylo poskytnuto za práci přesčas konanou před 1. 3. 2020, </w:t>
      </w:r>
      <w:proofErr w:type="spellStart"/>
      <w:r w:rsidRPr="004A1BCA">
        <w:t>home</w:t>
      </w:r>
      <w:proofErr w:type="spellEnd"/>
      <w:r w:rsidRPr="004A1BCA">
        <w:t>-office apod.</w:t>
      </w:r>
    </w:p>
    <w:p w14:paraId="1AF10FE5" w14:textId="29593244" w:rsidR="003409BD" w:rsidRPr="004A1BCA" w:rsidRDefault="004E4FC0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>Maximální</w:t>
      </w:r>
      <w:r w:rsidR="00F03DB5" w:rsidRPr="004A1BCA">
        <w:t xml:space="preserve"> odměn</w:t>
      </w:r>
      <w:r w:rsidRPr="004A1BCA">
        <w:t>a</w:t>
      </w:r>
      <w:r w:rsidR="00F03DB5" w:rsidRPr="004A1BCA">
        <w:t xml:space="preserve"> je</w:t>
      </w:r>
      <w:r w:rsidR="003409BD" w:rsidRPr="004A1BCA">
        <w:t xml:space="preserve"> 75 000 Kč pro zdravotnické pracovníky dle zákona č. 95/2004 Sb., o podmínkách získávání a uznávání odborné způsobilosti a specializované způsobilosti k výkonu zdravotnického povolání lékaře, zubního lékaře a farmaceuta ve znění pozdějších předpisů a dle zákona č. 96/2004 Sb., o podmínkách získávání a uznávání způsobilosti k výkonu nelékařských zdravotnických povolání a k výkonu činnosti souvisejících s poskytováním zdravotní péče a o změně některých souvisejících zákonů, kteří vykonávají u daného poskytovatele zdravotnické povolání.</w:t>
      </w:r>
    </w:p>
    <w:p w14:paraId="2CFB90C5" w14:textId="3127BE8C" w:rsidR="003409BD" w:rsidRPr="004A1BCA" w:rsidRDefault="004E4FC0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>Maximální odměna</w:t>
      </w:r>
      <w:r w:rsidR="003409BD" w:rsidRPr="004A1BCA">
        <w:t xml:space="preserve"> je </w:t>
      </w:r>
      <w:r w:rsidR="00A25ACF" w:rsidRPr="004A1BCA">
        <w:t>3</w:t>
      </w:r>
      <w:r w:rsidR="003409BD" w:rsidRPr="004A1BCA">
        <w:t xml:space="preserve">0 000 Kč pro ostatní zaměstnance neuvedené v bodě </w:t>
      </w:r>
      <w:proofErr w:type="spellStart"/>
      <w:r w:rsidR="00A25ACF" w:rsidRPr="004A1BCA">
        <w:t>i</w:t>
      </w:r>
      <w:r w:rsidR="00B44F6E" w:rsidRPr="004A1BCA">
        <w:t>v</w:t>
      </w:r>
      <w:proofErr w:type="spellEnd"/>
      <w:r w:rsidR="00A25ACF" w:rsidRPr="004A1BCA">
        <w:t>.</w:t>
      </w:r>
    </w:p>
    <w:p w14:paraId="08E869AE" w14:textId="605D9A39" w:rsidR="00882947" w:rsidRPr="004A1BCA" w:rsidRDefault="005D6D99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>Při nižším úvazku nebo odpracovaní menšího počtu hodin</w:t>
      </w:r>
      <w:r w:rsidR="00AA0985" w:rsidRPr="004A1BCA">
        <w:t>, než je pracovní fond daného zaměstnance,</w:t>
      </w:r>
      <w:r w:rsidRPr="004A1BCA">
        <w:t xml:space="preserve"> se odměna dle bodu </w:t>
      </w:r>
      <w:proofErr w:type="spellStart"/>
      <w:r w:rsidRPr="004A1BCA">
        <w:t>i</w:t>
      </w:r>
      <w:r w:rsidR="00B44F6E" w:rsidRPr="004A1BCA">
        <w:t>v</w:t>
      </w:r>
      <w:proofErr w:type="spellEnd"/>
      <w:r w:rsidR="006A720C" w:rsidRPr="004A1BCA">
        <w:t>.</w:t>
      </w:r>
      <w:r w:rsidRPr="004A1BCA">
        <w:t xml:space="preserve"> a </w:t>
      </w:r>
      <w:r w:rsidR="00882947" w:rsidRPr="004A1BCA">
        <w:t>v</w:t>
      </w:r>
      <w:r w:rsidR="006A720C" w:rsidRPr="004A1BCA">
        <w:t>.</w:t>
      </w:r>
      <w:r w:rsidRPr="004A1BCA">
        <w:t xml:space="preserve"> poměrně krátí.</w:t>
      </w:r>
    </w:p>
    <w:p w14:paraId="396C5632" w14:textId="20BD0104" w:rsidR="00E31966" w:rsidRPr="004A1BCA" w:rsidRDefault="00FE5232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>Odměny lze vyplatit všem zaměstnancům</w:t>
      </w:r>
      <w:r w:rsidR="00D81A23" w:rsidRPr="004A1BCA">
        <w:t>, kteří jsou zaměstnáni u poskytovatele zdravotních služeb, který má oprávnění k poskytování lůžkové péče (IČO) a kteří mají výkon práce v pracovní smlouvě stanoven v místě poskytování lůžkové péče a pouze za ty hodiny, které byly skutečně odpracovány na místě poskytování lůžkové péče</w:t>
      </w:r>
      <w:r w:rsidR="00E31966" w:rsidRPr="004A1BCA">
        <w:t xml:space="preserve"> nebo ve vlastním sociálním prostředí</w:t>
      </w:r>
      <w:r w:rsidR="00014987" w:rsidRPr="004A1BCA">
        <w:t xml:space="preserve"> pacienta</w:t>
      </w:r>
      <w:r w:rsidR="00D81A23" w:rsidRPr="004A1BCA">
        <w:t>.</w:t>
      </w:r>
      <w:r w:rsidR="002144CF" w:rsidRPr="004A1BCA">
        <w:t xml:space="preserve"> Odměny lze vyplatit i zaměstnancům, kteří pracovní poměr nebo dohodu u příjemce dotace již ukončili (starobní důchod, ukončení pracovního poměru, mateřská dovolená apod.).</w:t>
      </w:r>
    </w:p>
    <w:p w14:paraId="3F71E415" w14:textId="78AECDF2" w:rsidR="00D470C3" w:rsidRPr="004A1BCA" w:rsidRDefault="00D470C3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 xml:space="preserve">Odměny lze vyplatit </w:t>
      </w:r>
      <w:r w:rsidR="002C0D6A" w:rsidRPr="004A1BCA">
        <w:t xml:space="preserve">i </w:t>
      </w:r>
      <w:r w:rsidR="00223C06" w:rsidRPr="004A1BCA">
        <w:t>za hodiny, kdy byl</w:t>
      </w:r>
      <w:r w:rsidRPr="004A1BCA">
        <w:t xml:space="preserve"> zaměstnan</w:t>
      </w:r>
      <w:r w:rsidR="00223C06" w:rsidRPr="004A1BCA">
        <w:t>ec vyslán</w:t>
      </w:r>
      <w:r w:rsidRPr="004A1BCA">
        <w:t xml:space="preserve"> </w:t>
      </w:r>
      <w:r w:rsidRPr="004A1BCA">
        <w:rPr>
          <w:color w:val="000000"/>
          <w:shd w:val="clear" w:color="auto" w:fill="FFFFFF"/>
        </w:rPr>
        <w:t xml:space="preserve">na </w:t>
      </w:r>
      <w:r w:rsidR="002C0D6A" w:rsidRPr="004A1BCA">
        <w:rPr>
          <w:color w:val="000000"/>
          <w:shd w:val="clear" w:color="auto" w:fill="FFFFFF"/>
        </w:rPr>
        <w:t>p</w:t>
      </w:r>
      <w:r w:rsidRPr="004A1BCA">
        <w:rPr>
          <w:color w:val="000000"/>
          <w:shd w:val="clear" w:color="auto" w:fill="FFFFFF"/>
        </w:rPr>
        <w:t>racovní cestu</w:t>
      </w:r>
      <w:r w:rsidR="00223C06" w:rsidRPr="004A1BCA">
        <w:rPr>
          <w:color w:val="000000"/>
          <w:shd w:val="clear" w:color="auto" w:fill="FFFFFF"/>
        </w:rPr>
        <w:t xml:space="preserve"> nebo byl na stáží a </w:t>
      </w:r>
      <w:r w:rsidRPr="004A1BCA">
        <w:rPr>
          <w:color w:val="000000"/>
          <w:shd w:val="clear" w:color="auto" w:fill="FFFFFF"/>
        </w:rPr>
        <w:t>má uzavřenou smlouvu o zajištění stáže</w:t>
      </w:r>
      <w:r w:rsidR="008F2675" w:rsidRPr="004A1BCA">
        <w:rPr>
          <w:color w:val="000000"/>
          <w:shd w:val="clear" w:color="auto" w:fill="FFFFFF"/>
        </w:rPr>
        <w:t xml:space="preserve">, </w:t>
      </w:r>
      <w:r w:rsidR="00223C06" w:rsidRPr="004A1BCA">
        <w:rPr>
          <w:color w:val="000000"/>
          <w:shd w:val="clear" w:color="auto" w:fill="FFFFFF"/>
        </w:rPr>
        <w:t xml:space="preserve">nebo se </w:t>
      </w:r>
      <w:r w:rsidR="008F2675" w:rsidRPr="004A1BCA">
        <w:rPr>
          <w:color w:val="000000"/>
          <w:shd w:val="clear" w:color="auto" w:fill="FFFFFF"/>
        </w:rPr>
        <w:t xml:space="preserve">účastnil specializačního vzdělávání, </w:t>
      </w:r>
      <w:r w:rsidR="00D82701" w:rsidRPr="004A1BCA">
        <w:rPr>
          <w:shd w:val="clear" w:color="auto" w:fill="FFFFFF"/>
        </w:rPr>
        <w:t>školení nebo lékařské pohotovostní služby</w:t>
      </w:r>
      <w:r w:rsidR="008F2675" w:rsidRPr="004A1BCA">
        <w:rPr>
          <w:color w:val="000000"/>
          <w:shd w:val="clear" w:color="auto" w:fill="FFFFFF"/>
        </w:rPr>
        <w:t>.</w:t>
      </w:r>
      <w:r w:rsidRPr="004A1BCA">
        <w:rPr>
          <w:color w:val="000000"/>
          <w:shd w:val="clear" w:color="auto" w:fill="FFFFFF"/>
        </w:rPr>
        <w:t xml:space="preserve"> </w:t>
      </w:r>
    </w:p>
    <w:p w14:paraId="33653D4F" w14:textId="7FB4D831" w:rsidR="00882947" w:rsidRPr="004A1BCA" w:rsidRDefault="00E31966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lastRenderedPageBreak/>
        <w:t>Odměny nelze vyplatit za ty odpracované hodiny, které byly vykázány zdravotní pojišťovně výkony č. 06311, 06313, 06315, 06317, 06319 v odbornosti 925 podle vyhlášky č.  134/1998 Sb., kterou se vydává seznam zdravotních výkonů s bodovými hodnotami, ve znění pozdějších předpisů</w:t>
      </w:r>
      <w:r w:rsidR="003D2602" w:rsidRPr="004A1BCA">
        <w:t>, pokud byla za tyto výkony navýšena úhrada od zdravotních pojišťoven podle části A bodu 9 přílohy č. 6 vyhlášky č. 305/2020</w:t>
      </w:r>
      <w:r w:rsidR="00054597" w:rsidRPr="004A1BCA">
        <w:t xml:space="preserve"> Sb.</w:t>
      </w:r>
      <w:r w:rsidR="003D2602" w:rsidRPr="004A1BCA">
        <w:t>, o stanovení způsobu zahrnutí kompenzace do výše úhrad za hrazené služby poskytnuté v roce 2020.</w:t>
      </w:r>
    </w:p>
    <w:p w14:paraId="4329B8A7" w14:textId="62222895" w:rsidR="00882947" w:rsidRPr="004A1BCA" w:rsidRDefault="00882947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 xml:space="preserve">Odměny lze vyplatit pouze za odpracované hodiny do sjednaného úvazku </w:t>
      </w:r>
      <w:r w:rsidR="00E31966" w:rsidRPr="004A1BCA">
        <w:t xml:space="preserve">ve smlouvě </w:t>
      </w:r>
      <w:r w:rsidRPr="004A1BCA">
        <w:t xml:space="preserve">u poskytovatele lůžkové péče. V případě DPP nebo DPČ lze vyplatit odměny za odpracované hodiny do úvazku 1,0. V případě souběhu pracovního poměru a DPP nebo DPČ lze vyplatit odměny za odpracované hodiny do úvazku 1,0. </w:t>
      </w:r>
    </w:p>
    <w:p w14:paraId="67840CA1" w14:textId="43C9F1E2" w:rsidR="006F15A0" w:rsidRPr="004A1BCA" w:rsidRDefault="006F15A0" w:rsidP="004A1BCA">
      <w:pPr>
        <w:pStyle w:val="Bodypopisu"/>
        <w:numPr>
          <w:ilvl w:val="0"/>
          <w:numId w:val="5"/>
        </w:numPr>
        <w:spacing w:line="276" w:lineRule="auto"/>
        <w:ind w:left="567" w:hanging="76"/>
      </w:pPr>
      <w:r w:rsidRPr="004A1BCA">
        <w:t xml:space="preserve">Do odpracovaných hodin nelze zahrnout hodiny, </w:t>
      </w:r>
      <w:r w:rsidR="00E300E3" w:rsidRPr="004A1BCA">
        <w:rPr>
          <w:rFonts w:cs="Arial"/>
        </w:rPr>
        <w:t xml:space="preserve">na které byla čerpána dotace v rámci </w:t>
      </w:r>
      <w:r w:rsidRPr="004A1BCA">
        <w:t>Mimořádného dotačního řízení MPSV pro rok 2020 na podporu mimořádného finančního ohodnocení zaměstnanců v sociálních službách v souvislosti s epidemií COVID_19 nebo dotačního programu MZ na podporu mimořádného finančního ohodnocení zdravotnických pracovníků v sociálních službách v souvislosti s epidemií covid-19.</w:t>
      </w:r>
    </w:p>
    <w:p w14:paraId="2DD1B864" w14:textId="5D56D41D" w:rsidR="00E769FA" w:rsidRPr="004A1BCA" w:rsidRDefault="00E769FA" w:rsidP="004A1BCA">
      <w:pPr>
        <w:pStyle w:val="Bodypopisu"/>
        <w:spacing w:line="276" w:lineRule="auto"/>
        <w:rPr>
          <w:color w:val="000000"/>
        </w:rPr>
      </w:pPr>
      <w:r w:rsidRPr="004A1BCA">
        <w:rPr>
          <w:color w:val="000000"/>
        </w:rPr>
        <w:t>V případě, že vláda ČR rozhodne o vázání rozpočtových prostředků dle rozpočtových pravidel, může být zahájeno řízení o odnětí dotace, případně její části</w:t>
      </w:r>
      <w:r w:rsidR="00D15582" w:rsidRPr="004A1BCA">
        <w:rPr>
          <w:color w:val="000000"/>
        </w:rPr>
        <w:t xml:space="preserve"> dle § 15 rozpočtových pravidel</w:t>
      </w:r>
      <w:r w:rsidRPr="004A1BCA">
        <w:t>.</w:t>
      </w:r>
      <w:r w:rsidRPr="004A1BCA">
        <w:rPr>
          <w:color w:val="000000"/>
        </w:rPr>
        <w:t xml:space="preserve"> Řízení o odnětí dotace může být také zahájeno, </w:t>
      </w:r>
      <w:bookmarkStart w:id="7" w:name="_Hlk29971569"/>
      <w:r w:rsidRPr="004A1BCA">
        <w:rPr>
          <w:color w:val="000000"/>
        </w:rPr>
        <w:t xml:space="preserve">došlo-li ke zjištění, že </w:t>
      </w:r>
      <w:bookmarkEnd w:id="7"/>
      <w:r w:rsidRPr="004A1BCA">
        <w:rPr>
          <w:color w:val="000000"/>
        </w:rPr>
        <w:t>údaje, na jejichž základě byla dotace poskytnuta, byly neúplné nebo nepravdivé; došlo</w:t>
      </w:r>
      <w:r w:rsidR="00B149E2">
        <w:rPr>
          <w:color w:val="000000"/>
        </w:rPr>
        <w:noBreakHyphen/>
      </w:r>
      <w:r w:rsidRPr="004A1BCA">
        <w:rPr>
          <w:color w:val="000000"/>
        </w:rPr>
        <w:t xml:space="preserve">li ke zjištění, že </w:t>
      </w:r>
      <w:r w:rsidR="005537C2" w:rsidRPr="004A1BCA">
        <w:rPr>
          <w:color w:val="000000"/>
        </w:rPr>
        <w:t>R</w:t>
      </w:r>
      <w:r w:rsidRPr="004A1BCA">
        <w:rPr>
          <w:color w:val="000000"/>
        </w:rPr>
        <w:t>ozhodnutí bylo vydáno v rozporu se zákonem; došlo-li ke zjištění, že nemůže být splněn řádně účel, na který byla dotace poskytnuta, pokud již nedošlo k porušení rozpočtové kázně.</w:t>
      </w:r>
    </w:p>
    <w:p w14:paraId="619BA7DF" w14:textId="08925169" w:rsidR="00E769FA" w:rsidRPr="004A1BCA" w:rsidRDefault="00252092" w:rsidP="004A1BCA">
      <w:pPr>
        <w:pStyle w:val="Bodypopisu"/>
        <w:spacing w:line="276" w:lineRule="auto"/>
      </w:pPr>
      <w:r w:rsidRPr="004A1BCA">
        <w:t xml:space="preserve">Dotace musí být použita pouze na odměny zaměstnanců jmenovitě uvedených v žádosti o poskytnutí státní dotace na podporu mimořádného finančního ohodnocení zaměstnanců u poskytovatelů lůžkové péče v souvislosti s epidemií COVID-19. </w:t>
      </w:r>
      <w:r w:rsidR="00F70122" w:rsidRPr="004A1BCA">
        <w:t xml:space="preserve">Vyplacené odměny jednotlivým zaměstnancům nemohou překročit částku, která je uvedena u jednotlivých zaměstnanců v tabulce </w:t>
      </w:r>
      <w:r w:rsidR="008F2675" w:rsidRPr="004A1BCA">
        <w:rPr>
          <w:color w:val="000000"/>
        </w:rPr>
        <w:t>žádosti a nespotřebované finanční prostředky je nutné vrátit na účet MZ.</w:t>
      </w:r>
      <w:bookmarkStart w:id="8" w:name="_Hlk46156691"/>
      <w:r w:rsidRPr="004A1BCA">
        <w:t xml:space="preserve"> </w:t>
      </w:r>
      <w:bookmarkEnd w:id="8"/>
      <w:r w:rsidRPr="004A1BCA">
        <w:t>Účel, na který byla dotace poskytnuta, nelze změnit.</w:t>
      </w:r>
    </w:p>
    <w:p w14:paraId="485B1585" w14:textId="19F9606C" w:rsidR="006F73C3" w:rsidRPr="004A1BCA" w:rsidRDefault="00E769FA" w:rsidP="004A1BCA">
      <w:pPr>
        <w:pStyle w:val="Bodypopisu"/>
        <w:spacing w:line="276" w:lineRule="auto"/>
      </w:pPr>
      <w:r w:rsidRPr="004A1BCA">
        <w:t>Dotace byla Rozhodnutím poskytnuta s tím, že nejsou duplicitně financovány</w:t>
      </w:r>
      <w:r w:rsidR="00821E11" w:rsidRPr="004A1BCA">
        <w:t xml:space="preserve"> ze státního rozpočtu stejné náklady projektu</w:t>
      </w:r>
      <w:r w:rsidRPr="004A1BCA">
        <w:t>.</w:t>
      </w:r>
      <w:r w:rsidR="000E449B" w:rsidRPr="004A1BCA">
        <w:t xml:space="preserve"> </w:t>
      </w:r>
      <w:r w:rsidR="00300910" w:rsidRPr="004A1BCA">
        <w:t>Za o</w:t>
      </w:r>
      <w:r w:rsidR="00882947" w:rsidRPr="004A1BCA">
        <w:t>dpracované hodiny z</w:t>
      </w:r>
      <w:r w:rsidR="000E449B" w:rsidRPr="004A1BCA">
        <w:t>aměstnanců, na které byla čerpána dotace na odměny z dotačního programu M</w:t>
      </w:r>
      <w:r w:rsidR="00B54561" w:rsidRPr="004A1BCA">
        <w:t>inisterstva práce a sociálních věcí s názvem  „M</w:t>
      </w:r>
      <w:r w:rsidR="000E449B" w:rsidRPr="004A1BCA">
        <w:t>imořádného dotačního řízení MPSV pro rok 2020 na podporu mimořádného finančního ohodnocení zaměstnanců v sociálních službách v souvislosti s epidemií COVID_19</w:t>
      </w:r>
      <w:r w:rsidR="00B54561" w:rsidRPr="004A1BCA">
        <w:t>“</w:t>
      </w:r>
      <w:r w:rsidR="000E449B" w:rsidRPr="004A1BCA">
        <w:t xml:space="preserve"> nebo z dotačního programu MZ </w:t>
      </w:r>
      <w:r w:rsidR="00B54561" w:rsidRPr="004A1BCA">
        <w:t>s</w:t>
      </w:r>
      <w:r w:rsidR="006F15A0" w:rsidRPr="004A1BCA">
        <w:t> </w:t>
      </w:r>
      <w:r w:rsidR="00B54561" w:rsidRPr="004A1BCA">
        <w:t>názvem „</w:t>
      </w:r>
      <w:r w:rsidR="000E449B" w:rsidRPr="004A1BCA">
        <w:t>Dotační program na podporu mimořádného finančního ohodnocení zdravotnických pracovníků v sociálních službách v</w:t>
      </w:r>
      <w:r w:rsidR="006F15A0" w:rsidRPr="004A1BCA">
        <w:t> </w:t>
      </w:r>
      <w:r w:rsidR="000E449B" w:rsidRPr="004A1BCA">
        <w:t>souvislosti s epidemií covid-19</w:t>
      </w:r>
      <w:r w:rsidR="00B54561" w:rsidRPr="004A1BCA">
        <w:t>“,</w:t>
      </w:r>
      <w:r w:rsidR="000E449B" w:rsidRPr="004A1BCA">
        <w:t xml:space="preserve"> nemůže být vyplacena odměna z tohoto dotačního programu.</w:t>
      </w:r>
    </w:p>
    <w:p w14:paraId="299A21D0" w14:textId="411FC2E2" w:rsidR="00E769FA" w:rsidRPr="004A1BCA" w:rsidRDefault="006F73C3" w:rsidP="004A1BCA">
      <w:pPr>
        <w:pStyle w:val="Bodypopisu"/>
        <w:spacing w:line="276" w:lineRule="auto"/>
      </w:pPr>
      <w:r w:rsidRPr="004A1BCA">
        <w:t xml:space="preserve">Maximální termín pro vyplacení odměny je stanoven do 30 pracovních dnů ode dne obdržení dotace na účet </w:t>
      </w:r>
      <w:r w:rsidR="00BB0D3A" w:rsidRPr="004A1BCA">
        <w:t>příjemce dotace</w:t>
      </w:r>
      <w:r w:rsidRPr="004A1BCA">
        <w:t xml:space="preserve">. </w:t>
      </w:r>
      <w:r w:rsidR="00BB0D3A" w:rsidRPr="004A1BCA">
        <w:rPr>
          <w:bCs/>
        </w:rPr>
        <w:t xml:space="preserve">Kraje, hlavní město Praha a obce vyplatí dotaci jednotlivým příjemcům dotace v termínu do 30 dnů od obdržení finančních prostředků na účet kraje, hlavního města Prahy </w:t>
      </w:r>
      <w:r w:rsidR="00837039" w:rsidRPr="004A1BCA">
        <w:rPr>
          <w:bCs/>
        </w:rPr>
        <w:t>nebo</w:t>
      </w:r>
      <w:r w:rsidR="00BB0D3A" w:rsidRPr="004A1BCA">
        <w:rPr>
          <w:bCs/>
        </w:rPr>
        <w:t xml:space="preserve"> obce.</w:t>
      </w:r>
    </w:p>
    <w:p w14:paraId="7C40FAD3" w14:textId="094BB4B4" w:rsidR="00E769FA" w:rsidRPr="004A1BCA" w:rsidRDefault="00E769FA" w:rsidP="004A1BCA">
      <w:pPr>
        <w:pStyle w:val="Bodypopisu"/>
        <w:spacing w:line="276" w:lineRule="auto"/>
      </w:pPr>
      <w:r w:rsidRPr="004A1BCA">
        <w:t>V případě, že dojde ke změně údajů týkajících se příjemce dotace (změna čísla účtu, identifikačních údajů, statutárního orgánu a jiné), je povinen příjemce dotace tuto změnu oznámit poskytovateli dotace bez zbytečného odkladu, nejpozději však do 14 dn</w:t>
      </w:r>
      <w:r w:rsidR="00C720C3" w:rsidRPr="004A1BCA">
        <w:t>ů</w:t>
      </w:r>
      <w:r w:rsidRPr="004A1BCA">
        <w:t>.</w:t>
      </w:r>
      <w:r w:rsidR="00216AEE" w:rsidRPr="004A1BCA">
        <w:t xml:space="preserve"> </w:t>
      </w:r>
      <w:r w:rsidR="00216AEE" w:rsidRPr="004A1BCA">
        <w:lastRenderedPageBreak/>
        <w:t xml:space="preserve">Příjemce </w:t>
      </w:r>
      <w:r w:rsidR="00606333" w:rsidRPr="004A1BCA">
        <w:t xml:space="preserve">dotace </w:t>
      </w:r>
      <w:r w:rsidR="00216AEE" w:rsidRPr="004A1BCA">
        <w:t>je povinen poskytovatele informovat o zahájeném insolvenčním řízení, a to do 5</w:t>
      </w:r>
      <w:r w:rsidR="00A0404A" w:rsidRPr="004A1BCA">
        <w:t> </w:t>
      </w:r>
      <w:r w:rsidR="00216AEE" w:rsidRPr="004A1BCA">
        <w:t xml:space="preserve">dnů od uveřejnění vyhlášky o insolvenčním návrhu na portálu </w:t>
      </w:r>
      <w:hyperlink r:id="rId6" w:history="1">
        <w:r w:rsidR="006F15A0" w:rsidRPr="004A1BCA">
          <w:rPr>
            <w:rStyle w:val="Hypertextovodkaz"/>
          </w:rPr>
          <w:t>https://isir.justice.cz</w:t>
        </w:r>
      </w:hyperlink>
      <w:r w:rsidR="00216AEE" w:rsidRPr="004A1BCA">
        <w:t xml:space="preserve">. Příjemce </w:t>
      </w:r>
      <w:r w:rsidR="00606333" w:rsidRPr="004A1BCA">
        <w:t xml:space="preserve">dotace </w:t>
      </w:r>
      <w:r w:rsidR="00216AEE" w:rsidRPr="004A1BCA">
        <w:t xml:space="preserve">je dále povinen informovat Poskytovatele dotace o vstupu </w:t>
      </w:r>
      <w:r w:rsidR="00606333" w:rsidRPr="004A1BCA">
        <w:t>p</w:t>
      </w:r>
      <w:r w:rsidR="00216AEE" w:rsidRPr="004A1BCA">
        <w:t>říjemce</w:t>
      </w:r>
      <w:r w:rsidR="00606333" w:rsidRPr="004A1BCA">
        <w:t xml:space="preserve"> dotace</w:t>
      </w:r>
      <w:r w:rsidR="00216AEE" w:rsidRPr="004A1BCA">
        <w:t xml:space="preserve"> do likvidace, a to do 5 dnů od uveřejnění výzvy likvidátora k přihlášení pohledávek uveřejněné na portálu </w:t>
      </w:r>
      <w:hyperlink r:id="rId7" w:history="1">
        <w:r w:rsidR="006F15A0" w:rsidRPr="004A1BCA">
          <w:rPr>
            <w:rStyle w:val="Hypertextovodkaz"/>
          </w:rPr>
          <w:t>http://ov.gov.cz</w:t>
        </w:r>
      </w:hyperlink>
      <w:r w:rsidR="006F15A0" w:rsidRPr="004A1BCA">
        <w:t>.</w:t>
      </w:r>
    </w:p>
    <w:p w14:paraId="1A8099E6" w14:textId="77777777" w:rsidR="00E769FA" w:rsidRPr="004A1BCA" w:rsidRDefault="00E769FA" w:rsidP="004A1BCA">
      <w:pPr>
        <w:pStyle w:val="Bodypopisu"/>
        <w:spacing w:line="276" w:lineRule="auto"/>
      </w:pPr>
      <w:r w:rsidRPr="004A1BCA">
        <w:t>Příjemce dotace musí vést řádné a oddělené sledování každé jednotlivé přijaté a použité dotace ve svém účetnictví, příp. upřesnit nebo doplnit své účetnictví o příslušné analytické účty pro jednotlivé dotace ve smyslu zákona č. 563/1991 Sb., o účetnictví, ve znění pozdějších předpisů. Výše uvedené podmínky o řádném a úplném vedení účetnictví nelze v žádném případě zaměňovat pouhým vedením výkaznictví v jakékoliv formě.</w:t>
      </w:r>
    </w:p>
    <w:p w14:paraId="0CFBEAB4" w14:textId="614D859C" w:rsidR="00E769FA" w:rsidRPr="004A1BCA" w:rsidRDefault="00E769FA" w:rsidP="004A1BCA">
      <w:pPr>
        <w:pStyle w:val="Bodypopisu"/>
        <w:spacing w:line="276" w:lineRule="auto"/>
      </w:pPr>
      <w:r w:rsidRPr="004A1BCA">
        <w:t>Příjemce dotace je povinen zajistit, aby vyplacené mzdové prostředky byly podloženy doklady o počtu odpracovaných hodin, umožňujícími kontrolu</w:t>
      </w:r>
      <w:r w:rsidR="00C005C8" w:rsidRPr="004A1BCA">
        <w:t>.</w:t>
      </w:r>
    </w:p>
    <w:p w14:paraId="46E42856" w14:textId="29BB1D46" w:rsidR="009F6CD7" w:rsidRPr="004A1BCA" w:rsidRDefault="00A02AFA" w:rsidP="004A1BCA">
      <w:pPr>
        <w:pStyle w:val="Bodypopisu"/>
        <w:spacing w:line="276" w:lineRule="auto"/>
        <w:rPr>
          <w:rFonts w:cs="Arial"/>
        </w:rPr>
      </w:pPr>
      <w:r w:rsidRPr="004A1BCA">
        <w:rPr>
          <w:rFonts w:cs="Arial"/>
        </w:rPr>
        <w:t>Příjemce dotace odpovídá za hospodárné, efektivní a účelné použití dotace, je povinen plnit lhůty a termíny finančního vypořádání vztahů se státním rozpočtem (vyhláška č.</w:t>
      </w:r>
      <w:r w:rsidR="00A0404A" w:rsidRPr="004A1BCA">
        <w:rPr>
          <w:rFonts w:cs="Arial"/>
        </w:rPr>
        <w:t> </w:t>
      </w:r>
      <w:r w:rsidRPr="004A1BCA">
        <w:rPr>
          <w:rFonts w:cs="Arial"/>
        </w:rPr>
        <w:t>367/2015 Sb., o zásadách a lhůtách finančního vypořádání vztahů se státním rozpočtem, státními finančními aktivy a Národním fondem, ve znění pozdějších předpisů (dále jen „vyhláška o finančním vypořádání“) a metodické pokyny MZ.</w:t>
      </w:r>
    </w:p>
    <w:p w14:paraId="78E9F969" w14:textId="12EFF505" w:rsidR="009F6CD7" w:rsidRPr="004A1BCA" w:rsidRDefault="009F6CD7" w:rsidP="004A1BCA">
      <w:pPr>
        <w:pStyle w:val="Bodypopisu"/>
        <w:spacing w:line="276" w:lineRule="auto"/>
      </w:pPr>
      <w:r w:rsidRPr="004A1BCA">
        <w:t xml:space="preserve"> Příjemce dotace je povinen MZ předložit v řádném termínu a na stanoveném formuláři závěrečnou zprávu o realizaci projektu, a to do </w:t>
      </w:r>
      <w:r w:rsidRPr="004A1BCA">
        <w:rPr>
          <w:b/>
          <w:bCs/>
        </w:rPr>
        <w:t>15. 2. 2021</w:t>
      </w:r>
      <w:r w:rsidR="00C97BEC" w:rsidRPr="004A1BCA">
        <w:rPr>
          <w:b/>
          <w:bCs/>
        </w:rPr>
        <w:t xml:space="preserve">. </w:t>
      </w:r>
      <w:r w:rsidRPr="004A1BCA">
        <w:t xml:space="preserve">Závěrečná zpráva bude obsahovat stručný obsah a průběh realizace projektu. Příjemce dotace rovněž vyplní všechny požadované informace o finančních prostředcích projektu do připravených tabulek v závěrečné zprávě. Příjemce dotace zašle závěrečnou zprávu včetně všech povinných příloh (účetní podklady a případně faktury – bude specifikováno v závěrečné zprávě) </w:t>
      </w:r>
      <w:r w:rsidR="003978A7" w:rsidRPr="004A1BCA">
        <w:t>prostřednictvím datové schránky</w:t>
      </w:r>
      <w:r w:rsidRPr="004A1BCA">
        <w:t xml:space="preserve">. </w:t>
      </w:r>
    </w:p>
    <w:p w14:paraId="4438CE62" w14:textId="12757890" w:rsidR="00E769FA" w:rsidRPr="004A1BCA" w:rsidRDefault="00E769FA" w:rsidP="004A1BCA">
      <w:pPr>
        <w:pStyle w:val="Bodypopisu"/>
        <w:spacing w:line="276" w:lineRule="auto"/>
      </w:pPr>
      <w:r w:rsidRPr="004A1BCA">
        <w:t>Příjemce dotace je povinen</w:t>
      </w:r>
      <w:r w:rsidR="00C564E9" w:rsidRPr="004A1BCA">
        <w:t xml:space="preserve"> dle vyhlášky č. 367/2015 Sb., o finančním vypořádání,</w:t>
      </w:r>
      <w:r w:rsidR="00365015" w:rsidRPr="004A1BCA">
        <w:t xml:space="preserve"> ve znění pozdějších předpisů</w:t>
      </w:r>
      <w:r w:rsidR="00093AC1" w:rsidRPr="004A1BCA">
        <w:t>,</w:t>
      </w:r>
      <w:r w:rsidR="00C564E9" w:rsidRPr="004A1BCA">
        <w:t xml:space="preserve"> kterou se stanoví zásady a lhůty finančního vypořádání vztahů se státním rozpočtem, státními finančními aktivy a Národním fondem vyhotovit v rámci účetní závěrky závěrečné vyúčtování projektu a vypořádání se státním rozpočtem. Finanční vypořádání dotace musí být provedeno ve smyslu Rozpočtových pravidel a v souladu s</w:t>
      </w:r>
      <w:r w:rsidR="00DC5543" w:rsidRPr="004A1BCA">
        <w:t> výše uvedenou</w:t>
      </w:r>
      <w:r w:rsidR="00C564E9" w:rsidRPr="004A1BCA">
        <w:t xml:space="preserve"> vyhláškou do </w:t>
      </w:r>
      <w:r w:rsidR="00C564E9" w:rsidRPr="004A1BCA">
        <w:rPr>
          <w:b/>
          <w:bCs/>
        </w:rPr>
        <w:t>15. 2.</w:t>
      </w:r>
      <w:r w:rsidR="00C564E9" w:rsidRPr="004A1BCA">
        <w:t xml:space="preserve"> </w:t>
      </w:r>
      <w:r w:rsidR="00C564E9" w:rsidRPr="004A1BCA">
        <w:rPr>
          <w:b/>
        </w:rPr>
        <w:t>2021</w:t>
      </w:r>
      <w:r w:rsidR="00C564E9" w:rsidRPr="004A1BCA">
        <w:t xml:space="preserve"> v případě </w:t>
      </w:r>
      <w:r w:rsidR="0064440B" w:rsidRPr="004A1BCA">
        <w:t>poskytovatele lůžkové péče</w:t>
      </w:r>
      <w:r w:rsidR="00C564E9" w:rsidRPr="004A1BCA">
        <w:t xml:space="preserve">, který není příspěvkovou organizací </w:t>
      </w:r>
      <w:r w:rsidR="0064440B" w:rsidRPr="004A1BCA">
        <w:t xml:space="preserve">kraje, hlavního města Prahy nebo </w:t>
      </w:r>
      <w:r w:rsidR="00C564E9" w:rsidRPr="004A1BCA">
        <w:t xml:space="preserve">obce včetně poukázání nespotřebované částky dotace na účet cizích prostředků MZ vedeného u ČNB č. </w:t>
      </w:r>
      <w:proofErr w:type="spellStart"/>
      <w:r w:rsidR="00C564E9" w:rsidRPr="004A1BCA">
        <w:t>ú.</w:t>
      </w:r>
      <w:proofErr w:type="spellEnd"/>
      <w:r w:rsidR="00C564E9" w:rsidRPr="004A1BCA">
        <w:t xml:space="preserve"> 6015-2528001/0710. Později připsané částky budou poukázány zpět na účet odesílatele, kterému vznikne povinnost vypořádání se státním rozpočtem prostřednictvím příslušného finančního úřadu. </w:t>
      </w:r>
      <w:r w:rsidR="00DC5543" w:rsidRPr="004A1BCA">
        <w:t xml:space="preserve">Právnická osoba, jejímž zřizovatelem je </w:t>
      </w:r>
      <w:r w:rsidR="0064440B" w:rsidRPr="004A1BCA">
        <w:t xml:space="preserve">kraj, hlavní město Praha nebo </w:t>
      </w:r>
      <w:r w:rsidR="00DC5543" w:rsidRPr="004A1BCA">
        <w:t>obec, provede vypořádání se státním rozpočtem prostřednictvím svého zřizovatele a</w:t>
      </w:r>
      <w:r w:rsidR="00A0404A" w:rsidRPr="004A1BCA">
        <w:t> </w:t>
      </w:r>
      <w:r w:rsidR="00DC5543" w:rsidRPr="004A1BCA">
        <w:t xml:space="preserve">současně převede ke dni </w:t>
      </w:r>
      <w:r w:rsidR="00DC5543" w:rsidRPr="004A1BCA">
        <w:rPr>
          <w:b/>
          <w:bCs/>
        </w:rPr>
        <w:t xml:space="preserve">5. 2. 2021 </w:t>
      </w:r>
      <w:r w:rsidR="00DC5543" w:rsidRPr="004A1BCA">
        <w:t xml:space="preserve">na účet </w:t>
      </w:r>
      <w:r w:rsidR="00EA3BB5" w:rsidRPr="004A1BCA">
        <w:t>kraje, hl</w:t>
      </w:r>
      <w:r w:rsidR="00FD7D91" w:rsidRPr="004A1BCA">
        <w:t>avního</w:t>
      </w:r>
      <w:r w:rsidR="00EA3BB5" w:rsidRPr="004A1BCA">
        <w:t xml:space="preserve"> m</w:t>
      </w:r>
      <w:r w:rsidR="00FD7D91" w:rsidRPr="004A1BCA">
        <w:t>ěsta</w:t>
      </w:r>
      <w:r w:rsidR="00EA3BB5" w:rsidRPr="004A1BCA">
        <w:t xml:space="preserve"> Prahy či </w:t>
      </w:r>
      <w:r w:rsidR="00DC5543" w:rsidRPr="004A1BCA">
        <w:t xml:space="preserve">obce případnou vratku dotace. </w:t>
      </w:r>
      <w:r w:rsidR="00EA3BB5" w:rsidRPr="004A1BCA">
        <w:rPr>
          <w:rFonts w:cs="Arial"/>
        </w:rPr>
        <w:t>Kraj</w:t>
      </w:r>
      <w:r w:rsidR="00FD7D91" w:rsidRPr="004A1BCA">
        <w:rPr>
          <w:rFonts w:cs="Arial"/>
        </w:rPr>
        <w:t>, hlavní město Praha</w:t>
      </w:r>
      <w:r w:rsidR="00EA3BB5" w:rsidRPr="004A1BCA">
        <w:rPr>
          <w:rFonts w:cs="Arial"/>
        </w:rPr>
        <w:t xml:space="preserve"> či obec předloží </w:t>
      </w:r>
      <w:r w:rsidR="00EA3BB5" w:rsidRPr="004A1BCA">
        <w:rPr>
          <w:rFonts w:cs="Arial"/>
          <w:b/>
        </w:rPr>
        <w:t>do 25.</w:t>
      </w:r>
      <w:r w:rsidR="00C03B96" w:rsidRPr="004A1BCA">
        <w:rPr>
          <w:rFonts w:cs="Arial"/>
          <w:b/>
        </w:rPr>
        <w:t> </w:t>
      </w:r>
      <w:r w:rsidR="00EA3BB5" w:rsidRPr="004A1BCA">
        <w:rPr>
          <w:rFonts w:cs="Arial"/>
          <w:b/>
        </w:rPr>
        <w:t>2.</w:t>
      </w:r>
      <w:r w:rsidR="00C03B96" w:rsidRPr="004A1BCA">
        <w:rPr>
          <w:rFonts w:cs="Arial"/>
          <w:b/>
        </w:rPr>
        <w:t> </w:t>
      </w:r>
      <w:r w:rsidR="00EA3BB5" w:rsidRPr="004A1BCA">
        <w:rPr>
          <w:rFonts w:cs="Arial"/>
          <w:b/>
        </w:rPr>
        <w:t>2021</w:t>
      </w:r>
      <w:r w:rsidR="00EA3BB5" w:rsidRPr="004A1BCA">
        <w:rPr>
          <w:rFonts w:cs="Arial"/>
        </w:rPr>
        <w:t xml:space="preserve"> MZ závěrečné zprávy zaslané příjemci dotace, dále Souhrn za všechny příjemce </w:t>
      </w:r>
      <w:r w:rsidR="00606333" w:rsidRPr="004A1BCA">
        <w:rPr>
          <w:rFonts w:cs="Arial"/>
        </w:rPr>
        <w:t xml:space="preserve">dotace </w:t>
      </w:r>
      <w:r w:rsidR="00EA3BB5" w:rsidRPr="004A1BCA">
        <w:rPr>
          <w:rFonts w:cs="Arial"/>
        </w:rPr>
        <w:t xml:space="preserve">dle vyhlášky o finančním vypořádání a současně převede na účet cizích prostředků </w:t>
      </w:r>
      <w:r w:rsidR="00EA3BB5" w:rsidRPr="004A1BCA">
        <w:t xml:space="preserve">MZ vedeného u ČNB č. </w:t>
      </w:r>
      <w:proofErr w:type="spellStart"/>
      <w:r w:rsidR="00EA3BB5" w:rsidRPr="004A1BCA">
        <w:t>ú.</w:t>
      </w:r>
      <w:proofErr w:type="spellEnd"/>
      <w:r w:rsidR="00EA3BB5" w:rsidRPr="004A1BCA">
        <w:t xml:space="preserve"> 6015-2528001/0710 </w:t>
      </w:r>
      <w:r w:rsidR="00EA3BB5" w:rsidRPr="004A1BCA">
        <w:rPr>
          <w:rFonts w:cs="Arial"/>
        </w:rPr>
        <w:t>celkovou výši prostředků převedenou jednotlivými příjemci</w:t>
      </w:r>
      <w:r w:rsidR="00606333" w:rsidRPr="004A1BCA">
        <w:rPr>
          <w:rFonts w:cs="Arial"/>
        </w:rPr>
        <w:t xml:space="preserve"> dotace</w:t>
      </w:r>
      <w:r w:rsidR="00EA3BB5" w:rsidRPr="004A1BCA">
        <w:rPr>
          <w:rFonts w:cs="Arial"/>
        </w:rPr>
        <w:t xml:space="preserve">. </w:t>
      </w:r>
      <w:r w:rsidR="002F4848" w:rsidRPr="004A1BCA">
        <w:t>Formulář</w:t>
      </w:r>
      <w:r w:rsidR="00EA3BB5" w:rsidRPr="004A1BCA">
        <w:t xml:space="preserve"> </w:t>
      </w:r>
      <w:r w:rsidR="002F4848" w:rsidRPr="004A1BCA">
        <w:t>finančního vypořádání bude k dispozici na webových stránkách MZ a příjemce dotace jej zašle prostřednictvím datové schránky.</w:t>
      </w:r>
    </w:p>
    <w:p w14:paraId="7B8D74B3" w14:textId="0DF4538B" w:rsidR="00E769FA" w:rsidRPr="004A1BCA" w:rsidRDefault="00E769FA" w:rsidP="004A1BCA">
      <w:pPr>
        <w:pStyle w:val="Bodypopisu"/>
        <w:spacing w:line="276" w:lineRule="auto"/>
      </w:pPr>
      <w:r w:rsidRPr="004A1BCA">
        <w:t xml:space="preserve">Pokud dojde k porušení rozpočtové kázně dle rozpočtových pravidel, tzn., že prostředky státní dotace budou využity neoprávněně nebo zadrženy a jejich nespotřebovaná část </w:t>
      </w:r>
      <w:r w:rsidRPr="004A1BCA">
        <w:lastRenderedPageBreak/>
        <w:t xml:space="preserve">nebude vypořádána podle §14 odst. 9 </w:t>
      </w:r>
      <w:r w:rsidR="00BA3BA4" w:rsidRPr="004A1BCA">
        <w:t>rozpočtových pravidel</w:t>
      </w:r>
      <w:r w:rsidRPr="004A1BCA">
        <w:t xml:space="preserve">, podléhají subjekty, kterým byla státní dotace poskytnuta, sankcím ve smyslu § 44a </w:t>
      </w:r>
      <w:r w:rsidR="00FD7D91" w:rsidRPr="004A1BCA">
        <w:t>rozpočtových pravidel</w:t>
      </w:r>
      <w:r w:rsidRPr="004A1BCA">
        <w:t>.</w:t>
      </w:r>
    </w:p>
    <w:p w14:paraId="43BCA6BD" w14:textId="1C09C71B" w:rsidR="00E769FA" w:rsidRPr="004A1BCA" w:rsidRDefault="00E769FA" w:rsidP="004A1BCA">
      <w:pPr>
        <w:pStyle w:val="Bodypopisu"/>
        <w:spacing w:line="276" w:lineRule="auto"/>
      </w:pPr>
      <w:r w:rsidRPr="004A1BCA">
        <w:t xml:space="preserve">Kontrolní systém je zaveden a nastaven v souladu se zákonem č. 320/2001 Sb., </w:t>
      </w:r>
      <w:r w:rsidRPr="004A1BCA">
        <w:br/>
        <w:t xml:space="preserve">o finanční kontrole ve veřejné správě a o změně některých zákonů (dále jen „zákon </w:t>
      </w:r>
      <w:r w:rsidRPr="004A1BCA">
        <w:br/>
        <w:t>o finanční kontrole“), ve znění pozdějších předpisů, zákonem č. 255/2012 Sb., o kontrole (dále jen „kontrolní řád“), a dále pak vnitřními předpisy MZ o resortní kontrole a oběhu a kontrole účetních dokladů. MZ si jako poskytovatel dotace vyhrazuje právo provádět kontrolu čerpání poskytnutých prostředků, která bude prováděna ve smyslu § 8 odst. 2 zákona o finanční kontrole, včetně povinnosti příjemce dotace předložit veškeré náležitosti vztahující se k poskytnutým dotacím a</w:t>
      </w:r>
      <w:r w:rsidR="00A0404A" w:rsidRPr="004A1BCA">
        <w:t> </w:t>
      </w:r>
      <w:r w:rsidRPr="004A1BCA">
        <w:t>k</w:t>
      </w:r>
      <w:r w:rsidR="00A0404A" w:rsidRPr="004A1BCA">
        <w:t> </w:t>
      </w:r>
      <w:r w:rsidRPr="004A1BCA">
        <w:t>celému projektu. Kontrolu čerpání a použití prostředků dotace mohou kromě MZ provádět i další externí kontrolní orgány, např. Ministerstvo financí, Finanční úřad, Nejvyšší kontrolní úřad.</w:t>
      </w:r>
    </w:p>
    <w:p w14:paraId="37556BE4" w14:textId="276F8F16" w:rsidR="00E769FA" w:rsidRPr="004A1BCA" w:rsidRDefault="00E769FA" w:rsidP="004A1BCA">
      <w:pPr>
        <w:pStyle w:val="Bodypopisu"/>
        <w:spacing w:line="276" w:lineRule="auto"/>
      </w:pPr>
      <w:r w:rsidRPr="004A1BCA">
        <w:t xml:space="preserve">Poskytovatel dotace je oprávněn provádět u příjemce </w:t>
      </w:r>
      <w:r w:rsidR="00606333" w:rsidRPr="004A1BCA">
        <w:t xml:space="preserve">dotace </w:t>
      </w:r>
      <w:r w:rsidRPr="004A1BCA">
        <w:t xml:space="preserve">kontrolní činnost spočívající </w:t>
      </w:r>
      <w:r w:rsidRPr="004A1BCA">
        <w:br/>
        <w:t xml:space="preserve">v prohlídce realizace projektu, dokumentace související s realizací projektu apod. Monitorovací návštěva je úkonem předcházejícím případné veřejnosprávní kontrole podle § 3 kontrolního řádu. Na průběh monitorovací návštěvy se neuplatní postupy podle kontrolního řádu. Výstupem z monitorovací návštěvy je zápis </w:t>
      </w:r>
      <w:r w:rsidRPr="004A1BCA">
        <w:br/>
        <w:t xml:space="preserve">z monitorovací návštěvy, k jehož návrhu se má možnost příjemce </w:t>
      </w:r>
      <w:r w:rsidR="00606333" w:rsidRPr="004A1BCA">
        <w:t xml:space="preserve">dotace </w:t>
      </w:r>
      <w:r w:rsidRPr="004A1BCA">
        <w:t>vyjádřit.</w:t>
      </w:r>
    </w:p>
    <w:p w14:paraId="6318CB63" w14:textId="68B768FB" w:rsidR="00E769FA" w:rsidRPr="004A1BCA" w:rsidRDefault="00E769FA" w:rsidP="004A1BCA">
      <w:pPr>
        <w:pStyle w:val="Bodypopisu"/>
        <w:spacing w:line="276" w:lineRule="auto"/>
      </w:pPr>
      <w:r w:rsidRPr="004A1BCA">
        <w:t xml:space="preserve">Příjemce </w:t>
      </w:r>
      <w:r w:rsidR="00606333" w:rsidRPr="004A1BCA">
        <w:t xml:space="preserve">dotace </w:t>
      </w:r>
      <w:r w:rsidRPr="004A1BCA">
        <w:t>je povinen na základě žádosti poskytovatele poskytnout písemně jakékoli informace související s realizací projektu, a to ve lhůtě stanovené poskytovatelem</w:t>
      </w:r>
      <w:r w:rsidR="000D7B6F" w:rsidRPr="004A1BCA">
        <w:t xml:space="preserve"> nebo Ministerstvem financí.</w:t>
      </w:r>
    </w:p>
    <w:p w14:paraId="493F92B2" w14:textId="009ADCF7" w:rsidR="00E769FA" w:rsidRPr="004A1BCA" w:rsidRDefault="00E769FA" w:rsidP="004A1BCA">
      <w:pPr>
        <w:pStyle w:val="Bodypopisu"/>
        <w:spacing w:line="276" w:lineRule="auto"/>
      </w:pPr>
      <w:r w:rsidRPr="004A1BCA">
        <w:t xml:space="preserve">Příjemce </w:t>
      </w:r>
      <w:r w:rsidR="00606333" w:rsidRPr="004A1BCA">
        <w:t xml:space="preserve">dotace </w:t>
      </w:r>
      <w:r w:rsidRPr="004A1BCA">
        <w:t>je povinen uchovat veškeré dokumenty související s realizací projektu v souladu s platnými právními předpisy ČR.</w:t>
      </w:r>
    </w:p>
    <w:p w14:paraId="34E2C43F" w14:textId="77777777" w:rsidR="00E769FA" w:rsidRPr="004A1BCA" w:rsidRDefault="00E769FA" w:rsidP="004A1BCA">
      <w:pPr>
        <w:pStyle w:val="Bodypopisu"/>
        <w:spacing w:line="276" w:lineRule="auto"/>
      </w:pPr>
      <w:r w:rsidRPr="004A1BCA">
        <w:rPr>
          <w:color w:val="000000"/>
        </w:rPr>
        <w:t>Příjemce dotace je povinen po doručení tohoto Rozhodnutí ověřit správnost svých identifikačních údajů v něm uvedených.</w:t>
      </w:r>
    </w:p>
    <w:p w14:paraId="6A65A0A0" w14:textId="77E29D16" w:rsidR="00E769FA" w:rsidRPr="004A1BCA" w:rsidRDefault="00E769FA" w:rsidP="004A1BCA">
      <w:pPr>
        <w:pStyle w:val="Bodypopisu"/>
        <w:spacing w:line="276" w:lineRule="auto"/>
      </w:pPr>
      <w:r w:rsidRPr="004A1BCA">
        <w:t>Rozhodnutí nabývá právní moci a vykonatelnosti dnem jeho doručení příjemci dotace.</w:t>
      </w:r>
    </w:p>
    <w:p w14:paraId="4BB15019" w14:textId="77777777" w:rsidR="00025F18" w:rsidRPr="004A1BCA" w:rsidRDefault="00025F18" w:rsidP="004A1BCA">
      <w:pPr>
        <w:pStyle w:val="Bodypopisu"/>
        <w:numPr>
          <w:ilvl w:val="0"/>
          <w:numId w:val="0"/>
        </w:numPr>
        <w:spacing w:line="276" w:lineRule="auto"/>
        <w:ind w:left="360"/>
      </w:pPr>
    </w:p>
    <w:p w14:paraId="57D0020D" w14:textId="77777777" w:rsidR="00E769FA" w:rsidRPr="004A1BCA" w:rsidRDefault="00E769FA" w:rsidP="004A1BCA">
      <w:pPr>
        <w:pStyle w:val="Nadpis2"/>
      </w:pPr>
      <w:r w:rsidRPr="004A1BCA">
        <w:t>Odůvodnění:</w:t>
      </w:r>
    </w:p>
    <w:p w14:paraId="61EB8416" w14:textId="6720CAB6" w:rsidR="00E769FA" w:rsidRPr="004A1BCA" w:rsidRDefault="00BA3BA4" w:rsidP="004A1BCA">
      <w:pPr>
        <w:spacing w:line="276" w:lineRule="auto"/>
        <w:rPr>
          <w:rFonts w:cs="Arial"/>
          <w:szCs w:val="22"/>
        </w:rPr>
      </w:pPr>
      <w:r w:rsidRPr="004A1BCA">
        <w:rPr>
          <w:rFonts w:cs="Arial"/>
          <w:szCs w:val="22"/>
        </w:rPr>
        <w:t>Příjemce</w:t>
      </w:r>
      <w:r w:rsidR="00606333" w:rsidRPr="004A1BCA">
        <w:rPr>
          <w:rFonts w:cs="Arial"/>
          <w:szCs w:val="22"/>
        </w:rPr>
        <w:t xml:space="preserve"> </w:t>
      </w:r>
      <w:bookmarkStart w:id="9" w:name="_Hlk47347336"/>
      <w:r w:rsidR="00CD506F" w:rsidRPr="004A1BCA">
        <w:rPr>
          <w:rFonts w:cs="Arial"/>
          <w:szCs w:val="22"/>
        </w:rPr>
        <w:t xml:space="preserve">dotace </w:t>
      </w:r>
      <w:r w:rsidR="009B6A4C" w:rsidRPr="004A1BCA">
        <w:rPr>
          <w:rFonts w:cs="Arial"/>
          <w:szCs w:val="22"/>
        </w:rPr>
        <w:t>[_</w:t>
      </w:r>
      <w:proofErr w:type="spellStart"/>
      <w:r w:rsidR="009B6A4C" w:rsidRPr="004A1BCA">
        <w:rPr>
          <w:rFonts w:cs="Arial"/>
          <w:szCs w:val="22"/>
        </w:rPr>
        <w:t>prijemce</w:t>
      </w:r>
      <w:proofErr w:type="spellEnd"/>
      <w:r w:rsidR="009B6A4C" w:rsidRPr="004A1BCA">
        <w:rPr>
          <w:rFonts w:cs="Arial"/>
          <w:szCs w:val="22"/>
        </w:rPr>
        <w:t>],</w:t>
      </w:r>
      <w:r w:rsidR="009B6A4C" w:rsidRPr="004A1BCA">
        <w:t xml:space="preserve"> </w:t>
      </w:r>
      <w:r w:rsidR="009B6A4C" w:rsidRPr="004A1BCA">
        <w:rPr>
          <w:rFonts w:cs="Arial"/>
          <w:szCs w:val="22"/>
        </w:rPr>
        <w:t>[_adresa1], [_adresa2]</w:t>
      </w:r>
      <w:bookmarkEnd w:id="9"/>
      <w:r w:rsidR="00A0404A" w:rsidRPr="004A1BCA">
        <w:rPr>
          <w:rFonts w:cs="Arial"/>
          <w:szCs w:val="22"/>
        </w:rPr>
        <w:t xml:space="preserve"> </w:t>
      </w:r>
      <w:r w:rsidR="00E769FA" w:rsidRPr="004A1BCA">
        <w:rPr>
          <w:rFonts w:cs="Arial"/>
          <w:szCs w:val="22"/>
        </w:rPr>
        <w:t xml:space="preserve">podal ve lhůtě stanovené Výzvou </w:t>
      </w:r>
      <w:r w:rsidR="00054597" w:rsidRPr="004A1BCA">
        <w:rPr>
          <w:rFonts w:cs="Arial"/>
          <w:szCs w:val="22"/>
        </w:rPr>
        <w:t>ž</w:t>
      </w:r>
      <w:r w:rsidR="00E74043" w:rsidRPr="004A1BCA">
        <w:rPr>
          <w:rFonts w:cs="Arial"/>
          <w:szCs w:val="22"/>
        </w:rPr>
        <w:t xml:space="preserve">ádost o poskytnutí státní dotace </w:t>
      </w:r>
      <w:r w:rsidR="00025F18" w:rsidRPr="004A1BCA">
        <w:rPr>
          <w:rFonts w:cs="Arial"/>
          <w:szCs w:val="22"/>
        </w:rPr>
        <w:t xml:space="preserve">na podporu mimořádného finančního ohodnocení zaměstnanců poskytovatelů lůžkové péče v souvislosti s epidemií COVID-19 </w:t>
      </w:r>
      <w:r w:rsidR="00E769FA" w:rsidRPr="004A1BCA">
        <w:rPr>
          <w:rFonts w:cs="Arial"/>
          <w:szCs w:val="22"/>
        </w:rPr>
        <w:t>v</w:t>
      </w:r>
      <w:r w:rsidR="00E74043" w:rsidRPr="004A1BCA">
        <w:rPr>
          <w:rFonts w:cs="Arial"/>
          <w:szCs w:val="22"/>
        </w:rPr>
        <w:t> </w:t>
      </w:r>
      <w:r w:rsidR="00E769FA" w:rsidRPr="004A1BCA">
        <w:rPr>
          <w:rFonts w:cs="Arial"/>
          <w:szCs w:val="22"/>
        </w:rPr>
        <w:t>programu</w:t>
      </w:r>
      <w:r w:rsidR="00E74043" w:rsidRPr="004A1BCA">
        <w:rPr>
          <w:rFonts w:cs="Arial"/>
          <w:szCs w:val="22"/>
        </w:rPr>
        <w:t xml:space="preserve"> Dotační program </w:t>
      </w:r>
      <w:r w:rsidR="00025F18" w:rsidRPr="004A1BCA">
        <w:rPr>
          <w:rFonts w:cs="Arial"/>
          <w:szCs w:val="22"/>
        </w:rPr>
        <w:t>na podporu mimořádného finančního ohodnocení zaměstnanců poskytovatelů lůžkové péče v souvislosti s epidemií COVID-19</w:t>
      </w:r>
      <w:r w:rsidR="00E769FA" w:rsidRPr="004A1BCA">
        <w:rPr>
          <w:rFonts w:cs="Arial"/>
          <w:szCs w:val="22"/>
        </w:rPr>
        <w:t>.</w:t>
      </w:r>
    </w:p>
    <w:p w14:paraId="23373841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  <w:r w:rsidRPr="004A1BCA">
        <w:rPr>
          <w:rFonts w:cs="Arial"/>
          <w:szCs w:val="22"/>
        </w:rPr>
        <w:t xml:space="preserve"> </w:t>
      </w:r>
    </w:p>
    <w:p w14:paraId="1875DD8C" w14:textId="53CEC830" w:rsidR="00E769FA" w:rsidRPr="004A1BCA" w:rsidRDefault="00E769FA" w:rsidP="004A1BCA">
      <w:pPr>
        <w:spacing w:line="276" w:lineRule="auto"/>
        <w:rPr>
          <w:rFonts w:cs="Arial"/>
          <w:szCs w:val="22"/>
        </w:rPr>
      </w:pPr>
      <w:r w:rsidRPr="004A1BCA">
        <w:rPr>
          <w:rFonts w:cs="Arial"/>
          <w:szCs w:val="22"/>
        </w:rPr>
        <w:t xml:space="preserve">Podáním </w:t>
      </w:r>
      <w:r w:rsidR="00054597" w:rsidRPr="004A1BCA">
        <w:rPr>
          <w:rFonts w:cs="Arial"/>
          <w:szCs w:val="22"/>
        </w:rPr>
        <w:t>ž</w:t>
      </w:r>
      <w:r w:rsidRPr="004A1BCA">
        <w:rPr>
          <w:rFonts w:cs="Arial"/>
          <w:szCs w:val="22"/>
        </w:rPr>
        <w:t>ádosti bylo zahájeno řízení o poskytnutí dotace podle § 14 a násl. rozpočtových pravidel.</w:t>
      </w:r>
    </w:p>
    <w:p w14:paraId="7CC105B8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14055716" w14:textId="05CAD0E9" w:rsidR="00E769FA" w:rsidRPr="004A1BCA" w:rsidRDefault="00E769FA" w:rsidP="004A1BCA">
      <w:pPr>
        <w:spacing w:line="276" w:lineRule="auto"/>
        <w:rPr>
          <w:rFonts w:cs="Arial"/>
          <w:szCs w:val="22"/>
        </w:rPr>
      </w:pPr>
      <w:r w:rsidRPr="004A1BCA">
        <w:rPr>
          <w:rFonts w:cs="Arial"/>
          <w:szCs w:val="22"/>
        </w:rPr>
        <w:t>Poskytovatel</w:t>
      </w:r>
      <w:r w:rsidR="00FC254D" w:rsidRPr="004A1BCA">
        <w:rPr>
          <w:rFonts w:cs="Arial"/>
          <w:szCs w:val="22"/>
        </w:rPr>
        <w:t xml:space="preserve"> posoudil splnění stanovených podmínek uvedených ve Výzvě a zhodnotil, že byly splněny.</w:t>
      </w:r>
      <w:r w:rsidRPr="004A1BCA">
        <w:rPr>
          <w:rFonts w:cs="Arial"/>
          <w:szCs w:val="22"/>
        </w:rPr>
        <w:t xml:space="preserve">  </w:t>
      </w:r>
    </w:p>
    <w:p w14:paraId="6D5CDEDE" w14:textId="77777777" w:rsidR="00E769FA" w:rsidRPr="004A1BCA" w:rsidRDefault="00E769FA" w:rsidP="004A1BCA">
      <w:pPr>
        <w:spacing w:line="276" w:lineRule="auto"/>
        <w:rPr>
          <w:rFonts w:cs="Arial"/>
          <w:szCs w:val="22"/>
        </w:rPr>
      </w:pPr>
    </w:p>
    <w:p w14:paraId="1EDECBC2" w14:textId="618D7760" w:rsidR="00E769FA" w:rsidRPr="004A1BCA" w:rsidRDefault="00E769FA" w:rsidP="004A1BCA">
      <w:pPr>
        <w:spacing w:line="276" w:lineRule="auto"/>
        <w:rPr>
          <w:rFonts w:cs="Arial"/>
          <w:szCs w:val="22"/>
        </w:rPr>
      </w:pPr>
      <w:r w:rsidRPr="004A1BCA">
        <w:rPr>
          <w:rFonts w:cs="Arial"/>
          <w:b/>
          <w:szCs w:val="22"/>
        </w:rPr>
        <w:lastRenderedPageBreak/>
        <w:t xml:space="preserve">Z výše uvedených důvodů bylo rozhodnuto tak, jak je uvedeno ve výroku tohoto Rozhodnutí. </w:t>
      </w:r>
      <w:r w:rsidRPr="004A1BCA">
        <w:rPr>
          <w:rFonts w:cs="Arial"/>
          <w:szCs w:val="22"/>
        </w:rPr>
        <w:t xml:space="preserve">Vzhledem k tomu, že </w:t>
      </w:r>
      <w:r w:rsidR="00BA3BA4" w:rsidRPr="004A1BCA">
        <w:rPr>
          <w:rFonts w:cs="Arial"/>
          <w:szCs w:val="22"/>
        </w:rPr>
        <w:t>příjemci</w:t>
      </w:r>
      <w:r w:rsidRPr="004A1BCA">
        <w:rPr>
          <w:rFonts w:cs="Arial"/>
          <w:szCs w:val="22"/>
        </w:rPr>
        <w:t xml:space="preserve"> dotac</w:t>
      </w:r>
      <w:r w:rsidR="00606333" w:rsidRPr="004A1BCA">
        <w:rPr>
          <w:rFonts w:cs="Arial"/>
          <w:szCs w:val="22"/>
        </w:rPr>
        <w:t>e</w:t>
      </w:r>
      <w:r w:rsidRPr="004A1BCA">
        <w:rPr>
          <w:rFonts w:cs="Arial"/>
          <w:szCs w:val="22"/>
        </w:rPr>
        <w:t xml:space="preserve"> bylo plně vyhověno, není třeba podle </w:t>
      </w:r>
      <w:r w:rsidRPr="004A1BCA">
        <w:rPr>
          <w:rFonts w:cs="Arial"/>
          <w:szCs w:val="22"/>
        </w:rPr>
        <w:br/>
        <w:t>§ 68 odst. 4 správního řádu podrobnějšího odůvodnění.</w:t>
      </w:r>
    </w:p>
    <w:p w14:paraId="643B9489" w14:textId="77777777" w:rsidR="00E769FA" w:rsidRPr="004A1BCA" w:rsidRDefault="00E769FA" w:rsidP="004A1BCA">
      <w:pPr>
        <w:spacing w:before="480" w:after="240" w:line="276" w:lineRule="auto"/>
        <w:jc w:val="center"/>
        <w:outlineLvl w:val="1"/>
        <w:rPr>
          <w:b/>
          <w:spacing w:val="40"/>
        </w:rPr>
      </w:pPr>
      <w:r w:rsidRPr="004A1BCA">
        <w:rPr>
          <w:b/>
          <w:spacing w:val="40"/>
        </w:rPr>
        <w:t>Poučení:</w:t>
      </w:r>
    </w:p>
    <w:p w14:paraId="5CBE3B69" w14:textId="77777777" w:rsidR="00E769FA" w:rsidRPr="004A1BCA" w:rsidRDefault="00E769FA" w:rsidP="004A1BCA">
      <w:pPr>
        <w:spacing w:after="240" w:line="276" w:lineRule="auto"/>
        <w:rPr>
          <w:rFonts w:cs="Arial"/>
          <w:szCs w:val="22"/>
          <w:lang w:eastAsia="x-none"/>
        </w:rPr>
      </w:pPr>
      <w:r w:rsidRPr="004A1BCA">
        <w:rPr>
          <w:rFonts w:cs="Arial"/>
          <w:szCs w:val="22"/>
          <w:lang w:eastAsia="x-none"/>
        </w:rPr>
        <w:t>Proti tomuto Rozhodnutí není podle § 14q odst. 2 rozpočtových pravidel přípustné odvolání ani rozklad. Obnova řízení se nepřipouští. Přezkumné řízení se nepřipouští, s výjimkou postupu podle § 153 odst. 1 písm. a) správního řádu.</w:t>
      </w:r>
    </w:p>
    <w:p w14:paraId="429902A7" w14:textId="77777777" w:rsidR="00E769FA" w:rsidRPr="004A1BCA" w:rsidRDefault="00E769FA" w:rsidP="004A1BCA">
      <w:pPr>
        <w:tabs>
          <w:tab w:val="center" w:pos="7020"/>
        </w:tabs>
        <w:rPr>
          <w:rFonts w:cs="Arial"/>
          <w:sz w:val="8"/>
          <w:szCs w:val="8"/>
        </w:rPr>
      </w:pPr>
    </w:p>
    <w:p w14:paraId="554C4412" w14:textId="647A59D9" w:rsidR="00E769FA" w:rsidRPr="005D2F75" w:rsidRDefault="00E769FA" w:rsidP="005D2F75">
      <w:pPr>
        <w:tabs>
          <w:tab w:val="center" w:pos="7020"/>
        </w:tabs>
        <w:spacing w:line="240" w:lineRule="auto"/>
        <w:rPr>
          <w:rFonts w:cs="Arial"/>
          <w:i/>
          <w:iCs/>
        </w:rPr>
      </w:pPr>
      <w:r w:rsidRPr="004A1BCA">
        <w:rPr>
          <w:rFonts w:cs="Arial"/>
        </w:rPr>
        <w:tab/>
      </w:r>
      <w:r w:rsidR="005D2F75" w:rsidRPr="005D2F75">
        <w:rPr>
          <w:rFonts w:cs="Arial"/>
          <w:i/>
          <w:iCs/>
        </w:rPr>
        <w:t>podpis</w:t>
      </w:r>
    </w:p>
    <w:p w14:paraId="69DC4B51" w14:textId="77777777" w:rsidR="00E769FA" w:rsidRPr="004A1BCA" w:rsidRDefault="00E769FA" w:rsidP="004A1BCA">
      <w:pPr>
        <w:pStyle w:val="Podepsnoelektronicky"/>
      </w:pPr>
      <w:r w:rsidRPr="004A1BCA">
        <w:t xml:space="preserve">    </w:t>
      </w:r>
    </w:p>
    <w:p w14:paraId="43425F08" w14:textId="77777777" w:rsidR="00E769FA" w:rsidRPr="004A1BCA" w:rsidRDefault="00E769FA" w:rsidP="004A1BCA">
      <w:pPr>
        <w:pStyle w:val="Obdr"/>
        <w:spacing w:before="600"/>
      </w:pPr>
      <w:r w:rsidRPr="004A1BCA">
        <w:t>Obdrží do vlastních rukou:</w:t>
      </w:r>
    </w:p>
    <w:p w14:paraId="06673F5A" w14:textId="77777777" w:rsidR="009B6A4C" w:rsidRPr="004A1BCA" w:rsidRDefault="009B6A4C" w:rsidP="004A1BCA">
      <w:pPr>
        <w:pStyle w:val="Daldajeadresta"/>
        <w:rPr>
          <w:b/>
        </w:rPr>
      </w:pPr>
      <w:bookmarkStart w:id="10" w:name="_Hlk47347356"/>
      <w:r w:rsidRPr="004A1BCA">
        <w:rPr>
          <w:b/>
        </w:rPr>
        <w:t>[_</w:t>
      </w:r>
      <w:proofErr w:type="spellStart"/>
      <w:r w:rsidRPr="004A1BCA">
        <w:rPr>
          <w:b/>
        </w:rPr>
        <w:t>prijemce</w:t>
      </w:r>
      <w:proofErr w:type="spellEnd"/>
      <w:r w:rsidRPr="004A1BCA">
        <w:rPr>
          <w:b/>
        </w:rPr>
        <w:t>]</w:t>
      </w:r>
    </w:p>
    <w:p w14:paraId="41F61A4A" w14:textId="77777777" w:rsidR="009B6A4C" w:rsidRPr="004A1BCA" w:rsidRDefault="009B6A4C" w:rsidP="004A1BCA">
      <w:pPr>
        <w:pStyle w:val="Daldajeadresta"/>
      </w:pPr>
      <w:r w:rsidRPr="004A1BCA">
        <w:rPr>
          <w:rFonts w:cs="Arial"/>
          <w:szCs w:val="22"/>
        </w:rPr>
        <w:t>[_adresa1]</w:t>
      </w:r>
    </w:p>
    <w:p w14:paraId="195B645F" w14:textId="77777777" w:rsidR="009B6A4C" w:rsidRPr="004A1BCA" w:rsidRDefault="009B6A4C" w:rsidP="004A1BCA">
      <w:pPr>
        <w:pStyle w:val="Daldajeadresta"/>
        <w:rPr>
          <w:rFonts w:cs="Arial"/>
          <w:szCs w:val="22"/>
        </w:rPr>
      </w:pPr>
      <w:r w:rsidRPr="004A1BCA">
        <w:rPr>
          <w:rFonts w:cs="Arial"/>
          <w:szCs w:val="22"/>
        </w:rPr>
        <w:t>[_adresa2]</w:t>
      </w:r>
      <w:bookmarkEnd w:id="10"/>
    </w:p>
    <w:p w14:paraId="62266208" w14:textId="77777777" w:rsidR="009B6A4C" w:rsidRPr="002C411B" w:rsidRDefault="009B6A4C" w:rsidP="004A1BCA">
      <w:pPr>
        <w:pStyle w:val="Daldajeadresta"/>
        <w:rPr>
          <w:rFonts w:cs="Arial"/>
          <w:szCs w:val="22"/>
        </w:rPr>
      </w:pPr>
      <w:r w:rsidRPr="004A1BCA">
        <w:rPr>
          <w:b/>
        </w:rPr>
        <w:t xml:space="preserve">ID datové schránky: </w:t>
      </w:r>
      <w:r w:rsidRPr="004A1BCA">
        <w:rPr>
          <w:rFonts w:cs="Arial"/>
          <w:szCs w:val="22"/>
        </w:rPr>
        <w:t>[_</w:t>
      </w:r>
      <w:proofErr w:type="spellStart"/>
      <w:r w:rsidRPr="004A1BCA">
        <w:rPr>
          <w:rFonts w:cs="Arial"/>
          <w:szCs w:val="22"/>
        </w:rPr>
        <w:t>ds</w:t>
      </w:r>
      <w:proofErr w:type="spellEnd"/>
      <w:r w:rsidRPr="004A1BCA">
        <w:rPr>
          <w:rFonts w:cs="Arial"/>
          <w:szCs w:val="22"/>
        </w:rPr>
        <w:t>]</w:t>
      </w:r>
      <w:bookmarkStart w:id="11" w:name="_GoBack"/>
      <w:bookmarkEnd w:id="11"/>
    </w:p>
    <w:p w14:paraId="5DC88137" w14:textId="29D25DDA" w:rsidR="002C411B" w:rsidRPr="002C411B" w:rsidRDefault="002C411B" w:rsidP="004A1BCA">
      <w:pPr>
        <w:pStyle w:val="Daldajeadresta"/>
        <w:rPr>
          <w:rFonts w:cs="Arial"/>
          <w:szCs w:val="22"/>
        </w:rPr>
      </w:pPr>
    </w:p>
    <w:sectPr w:rsidR="002C411B" w:rsidRPr="002C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71F"/>
    <w:multiLevelType w:val="multilevel"/>
    <w:tmpl w:val="54A475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E059E"/>
    <w:multiLevelType w:val="hybridMultilevel"/>
    <w:tmpl w:val="6B10D24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4015"/>
    <w:multiLevelType w:val="singleLevel"/>
    <w:tmpl w:val="D75A36B6"/>
    <w:lvl w:ilvl="0">
      <w:start w:val="1"/>
      <w:numFmt w:val="decimal"/>
      <w:pStyle w:val="Bodypopi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 w15:restartNumberingAfterBreak="0">
    <w:nsid w:val="54770DC9"/>
    <w:multiLevelType w:val="hybridMultilevel"/>
    <w:tmpl w:val="27707628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FA"/>
    <w:rsid w:val="00007148"/>
    <w:rsid w:val="00014987"/>
    <w:rsid w:val="00025F18"/>
    <w:rsid w:val="0003782E"/>
    <w:rsid w:val="00043DF1"/>
    <w:rsid w:val="00054597"/>
    <w:rsid w:val="00093AC1"/>
    <w:rsid w:val="000969EF"/>
    <w:rsid w:val="000C21D4"/>
    <w:rsid w:val="000C6204"/>
    <w:rsid w:val="000D1F8B"/>
    <w:rsid w:val="000D7B6F"/>
    <w:rsid w:val="000E449B"/>
    <w:rsid w:val="000E4D69"/>
    <w:rsid w:val="00112DEA"/>
    <w:rsid w:val="001312CC"/>
    <w:rsid w:val="00153436"/>
    <w:rsid w:val="00166AF7"/>
    <w:rsid w:val="001B5FCC"/>
    <w:rsid w:val="001D2C21"/>
    <w:rsid w:val="001E31C4"/>
    <w:rsid w:val="001E60C0"/>
    <w:rsid w:val="001F60A9"/>
    <w:rsid w:val="002144CF"/>
    <w:rsid w:val="00216AEE"/>
    <w:rsid w:val="00223C06"/>
    <w:rsid w:val="00225437"/>
    <w:rsid w:val="00242F5F"/>
    <w:rsid w:val="00246D21"/>
    <w:rsid w:val="00252092"/>
    <w:rsid w:val="002C0D6A"/>
    <w:rsid w:val="002C30DB"/>
    <w:rsid w:val="002C411B"/>
    <w:rsid w:val="002F4848"/>
    <w:rsid w:val="00300910"/>
    <w:rsid w:val="00334564"/>
    <w:rsid w:val="003409BD"/>
    <w:rsid w:val="00363915"/>
    <w:rsid w:val="00365015"/>
    <w:rsid w:val="0036527A"/>
    <w:rsid w:val="00367E97"/>
    <w:rsid w:val="00382B68"/>
    <w:rsid w:val="003978A7"/>
    <w:rsid w:val="003B686E"/>
    <w:rsid w:val="003D2602"/>
    <w:rsid w:val="003E7E51"/>
    <w:rsid w:val="004A06FB"/>
    <w:rsid w:val="004A1BCA"/>
    <w:rsid w:val="004A53E3"/>
    <w:rsid w:val="004B3E5D"/>
    <w:rsid w:val="004E4FC0"/>
    <w:rsid w:val="004E5F9A"/>
    <w:rsid w:val="004F5328"/>
    <w:rsid w:val="00544354"/>
    <w:rsid w:val="005537C2"/>
    <w:rsid w:val="00584949"/>
    <w:rsid w:val="005D2F75"/>
    <w:rsid w:val="005D6D99"/>
    <w:rsid w:val="005D72B1"/>
    <w:rsid w:val="005E7E56"/>
    <w:rsid w:val="00602E9A"/>
    <w:rsid w:val="00606333"/>
    <w:rsid w:val="00634E8A"/>
    <w:rsid w:val="00637BEE"/>
    <w:rsid w:val="0064440B"/>
    <w:rsid w:val="00644458"/>
    <w:rsid w:val="006A720C"/>
    <w:rsid w:val="006E06CE"/>
    <w:rsid w:val="006F15A0"/>
    <w:rsid w:val="006F73C3"/>
    <w:rsid w:val="006F7943"/>
    <w:rsid w:val="007224E4"/>
    <w:rsid w:val="00730C31"/>
    <w:rsid w:val="007403F8"/>
    <w:rsid w:val="007448DE"/>
    <w:rsid w:val="00754336"/>
    <w:rsid w:val="0078772E"/>
    <w:rsid w:val="007A7EBC"/>
    <w:rsid w:val="007F51DB"/>
    <w:rsid w:val="008108D9"/>
    <w:rsid w:val="00815589"/>
    <w:rsid w:val="00821E11"/>
    <w:rsid w:val="00837039"/>
    <w:rsid w:val="00844EC2"/>
    <w:rsid w:val="0088228C"/>
    <w:rsid w:val="00882947"/>
    <w:rsid w:val="0089184F"/>
    <w:rsid w:val="00895287"/>
    <w:rsid w:val="008A6CA2"/>
    <w:rsid w:val="008B4638"/>
    <w:rsid w:val="008F2675"/>
    <w:rsid w:val="008F5D5B"/>
    <w:rsid w:val="00903C93"/>
    <w:rsid w:val="00973DEA"/>
    <w:rsid w:val="009A384A"/>
    <w:rsid w:val="009B005B"/>
    <w:rsid w:val="009B0F0B"/>
    <w:rsid w:val="009B6A4C"/>
    <w:rsid w:val="009D0ED7"/>
    <w:rsid w:val="009F0B69"/>
    <w:rsid w:val="009F6CD7"/>
    <w:rsid w:val="00A02323"/>
    <w:rsid w:val="00A02AFA"/>
    <w:rsid w:val="00A0404A"/>
    <w:rsid w:val="00A042B2"/>
    <w:rsid w:val="00A15094"/>
    <w:rsid w:val="00A25ACF"/>
    <w:rsid w:val="00A25B89"/>
    <w:rsid w:val="00A2733B"/>
    <w:rsid w:val="00A45CA2"/>
    <w:rsid w:val="00A8460A"/>
    <w:rsid w:val="00AA02D0"/>
    <w:rsid w:val="00AA0985"/>
    <w:rsid w:val="00AD697D"/>
    <w:rsid w:val="00B00CD4"/>
    <w:rsid w:val="00B149E2"/>
    <w:rsid w:val="00B22560"/>
    <w:rsid w:val="00B353A6"/>
    <w:rsid w:val="00B4217C"/>
    <w:rsid w:val="00B44F6E"/>
    <w:rsid w:val="00B54561"/>
    <w:rsid w:val="00B86DA5"/>
    <w:rsid w:val="00BA3BA4"/>
    <w:rsid w:val="00BB0D3A"/>
    <w:rsid w:val="00BB5DCF"/>
    <w:rsid w:val="00BB66C7"/>
    <w:rsid w:val="00BC0F78"/>
    <w:rsid w:val="00BF3434"/>
    <w:rsid w:val="00BF3499"/>
    <w:rsid w:val="00BF45B6"/>
    <w:rsid w:val="00C005C8"/>
    <w:rsid w:val="00C03B96"/>
    <w:rsid w:val="00C4131D"/>
    <w:rsid w:val="00C564E9"/>
    <w:rsid w:val="00C720C3"/>
    <w:rsid w:val="00C8227E"/>
    <w:rsid w:val="00C916FB"/>
    <w:rsid w:val="00C94045"/>
    <w:rsid w:val="00C97BEC"/>
    <w:rsid w:val="00CA1587"/>
    <w:rsid w:val="00CD506F"/>
    <w:rsid w:val="00CF4BBB"/>
    <w:rsid w:val="00D15582"/>
    <w:rsid w:val="00D314F8"/>
    <w:rsid w:val="00D470C3"/>
    <w:rsid w:val="00D74204"/>
    <w:rsid w:val="00D81A23"/>
    <w:rsid w:val="00D82701"/>
    <w:rsid w:val="00DC5543"/>
    <w:rsid w:val="00DE1DFB"/>
    <w:rsid w:val="00E300E3"/>
    <w:rsid w:val="00E31966"/>
    <w:rsid w:val="00E46125"/>
    <w:rsid w:val="00E53496"/>
    <w:rsid w:val="00E60238"/>
    <w:rsid w:val="00E74043"/>
    <w:rsid w:val="00E75395"/>
    <w:rsid w:val="00E769FA"/>
    <w:rsid w:val="00EA19B5"/>
    <w:rsid w:val="00EA3BB5"/>
    <w:rsid w:val="00EB1FDA"/>
    <w:rsid w:val="00EB71DE"/>
    <w:rsid w:val="00EE6DA3"/>
    <w:rsid w:val="00F03DB5"/>
    <w:rsid w:val="00F203DA"/>
    <w:rsid w:val="00F32442"/>
    <w:rsid w:val="00F54E65"/>
    <w:rsid w:val="00F70122"/>
    <w:rsid w:val="00F86D3B"/>
    <w:rsid w:val="00FB7E08"/>
    <w:rsid w:val="00FC254D"/>
    <w:rsid w:val="00FC2D92"/>
    <w:rsid w:val="00FD1F74"/>
    <w:rsid w:val="00FD7D91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BB6"/>
  <w15:chartTrackingRefBased/>
  <w15:docId w15:val="{0B6D7620-6D1B-4BA4-8416-268E83A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E769FA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769FA"/>
    <w:pPr>
      <w:spacing w:before="720" w:after="360" w:line="276" w:lineRule="auto"/>
      <w:jc w:val="center"/>
      <w:outlineLvl w:val="0"/>
    </w:pPr>
    <w:rPr>
      <w:b/>
      <w:bCs/>
      <w:spacing w:val="4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9FA"/>
    <w:pPr>
      <w:spacing w:before="480" w:after="240" w:line="276" w:lineRule="auto"/>
      <w:jc w:val="center"/>
      <w:outlineLvl w:val="1"/>
    </w:pPr>
    <w:rPr>
      <w:b/>
      <w:spacing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9FA"/>
    <w:rPr>
      <w:rFonts w:ascii="Arial" w:eastAsia="Times New Roman" w:hAnsi="Arial" w:cs="Times New Roman"/>
      <w:b/>
      <w:bCs/>
      <w:color w:val="000000"/>
      <w:spacing w:val="4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69FA"/>
    <w:rPr>
      <w:rFonts w:ascii="Arial" w:eastAsia="Times New Roman" w:hAnsi="Arial" w:cs="Times New Roman"/>
      <w:b/>
      <w:color w:val="000000"/>
      <w:spacing w:val="40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9FA"/>
    <w:pPr>
      <w:spacing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9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toadatum">
    <w:name w:val="Místo a datum"/>
    <w:basedOn w:val="Normln"/>
    <w:rsid w:val="00E769FA"/>
    <w:pPr>
      <w:spacing w:before="480" w:after="120" w:line="240" w:lineRule="auto"/>
      <w:jc w:val="right"/>
    </w:pPr>
    <w:rPr>
      <w:color w:val="auto"/>
      <w:szCs w:val="20"/>
    </w:rPr>
  </w:style>
  <w:style w:type="paragraph" w:customStyle="1" w:styleId="slojednac">
    <w:name w:val="Číslo jednací"/>
    <w:basedOn w:val="Normln"/>
    <w:rsid w:val="00E769FA"/>
    <w:pPr>
      <w:spacing w:before="120" w:after="120" w:line="240" w:lineRule="auto"/>
      <w:jc w:val="right"/>
    </w:pPr>
    <w:rPr>
      <w:color w:val="auto"/>
      <w:szCs w:val="20"/>
    </w:rPr>
  </w:style>
  <w:style w:type="paragraph" w:customStyle="1" w:styleId="PID">
    <w:name w:val="PID"/>
    <w:basedOn w:val="Normln"/>
    <w:rsid w:val="00E769FA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Podepsnoelektronicky">
    <w:name w:val="Podepsáno elektronicky"/>
    <w:basedOn w:val="Normln"/>
    <w:rsid w:val="00E769FA"/>
    <w:pPr>
      <w:spacing w:line="276" w:lineRule="auto"/>
      <w:ind w:left="5103"/>
      <w:jc w:val="left"/>
    </w:pPr>
    <w:rPr>
      <w:i/>
      <w:iCs/>
      <w:color w:val="auto"/>
      <w:szCs w:val="20"/>
    </w:rPr>
  </w:style>
  <w:style w:type="paragraph" w:customStyle="1" w:styleId="Obdr">
    <w:name w:val="Obdrží"/>
    <w:basedOn w:val="Normln"/>
    <w:rsid w:val="00E769FA"/>
    <w:pPr>
      <w:spacing w:before="960" w:after="120" w:line="240" w:lineRule="auto"/>
      <w:jc w:val="left"/>
    </w:pPr>
    <w:rPr>
      <w:b/>
      <w:bCs/>
      <w:color w:val="auto"/>
      <w:szCs w:val="20"/>
    </w:rPr>
  </w:style>
  <w:style w:type="paragraph" w:customStyle="1" w:styleId="Daldajeadresta">
    <w:name w:val="Další údaje adresáta"/>
    <w:basedOn w:val="Normln"/>
    <w:rsid w:val="00E769FA"/>
    <w:pPr>
      <w:spacing w:line="240" w:lineRule="auto"/>
      <w:jc w:val="left"/>
    </w:pPr>
    <w:rPr>
      <w:color w:val="auto"/>
      <w:szCs w:val="20"/>
    </w:rPr>
  </w:style>
  <w:style w:type="paragraph" w:customStyle="1" w:styleId="Bodypopisu">
    <w:name w:val="Body popisu"/>
    <w:basedOn w:val="Normln"/>
    <w:rsid w:val="00E769FA"/>
    <w:pPr>
      <w:numPr>
        <w:numId w:val="1"/>
      </w:numPr>
      <w:spacing w:before="120" w:after="120" w:line="240" w:lineRule="auto"/>
    </w:pPr>
    <w:rPr>
      <w:color w:val="auto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769FA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F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E11"/>
    <w:pPr>
      <w:jc w:val="both"/>
    </w:pPr>
    <w:rPr>
      <w:rFonts w:ascii="Arial" w:hAnsi="Arial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E11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9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15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5A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382B68"/>
    <w:pPr>
      <w:spacing w:line="240" w:lineRule="auto"/>
      <w:ind w:left="720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v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i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D37B-8E6E-448D-A254-6F885393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Hana Mgr.</dc:creator>
  <cp:keywords/>
  <dc:description/>
  <cp:lastModifiedBy>Žílová Pavlína Mgr.</cp:lastModifiedBy>
  <cp:revision>5</cp:revision>
  <cp:lastPrinted>2020-07-30T12:04:00Z</cp:lastPrinted>
  <dcterms:created xsi:type="dcterms:W3CDTF">2020-11-04T16:19:00Z</dcterms:created>
  <dcterms:modified xsi:type="dcterms:W3CDTF">2020-11-05T15:05:00Z</dcterms:modified>
</cp:coreProperties>
</file>